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B8AC" w14:textId="0A9B7776" w:rsidR="009C7273" w:rsidRPr="00977215" w:rsidRDefault="00E5296E" w:rsidP="003D41F8">
      <w:pPr>
        <w:jc w:val="both"/>
        <w:rPr>
          <w:rFonts w:ascii="Arial" w:hAnsi="Arial" w:cs="Arial"/>
          <w:b/>
          <w:color w:val="auto"/>
          <w:u w:val="single"/>
        </w:rPr>
      </w:pPr>
      <w:r w:rsidRPr="00977215">
        <w:rPr>
          <w:rFonts w:ascii="Arial" w:hAnsi="Arial" w:cs="Arial"/>
          <w:b/>
          <w:color w:val="auto"/>
          <w:u w:val="single"/>
        </w:rPr>
        <w:t>NHBC Pension Scheme</w:t>
      </w:r>
      <w:r w:rsidR="00977215">
        <w:rPr>
          <w:rFonts w:ascii="Arial" w:hAnsi="Arial" w:cs="Arial"/>
          <w:b/>
          <w:color w:val="auto"/>
          <w:u w:val="single"/>
        </w:rPr>
        <w:t xml:space="preserve"> (the “Scheme”)</w:t>
      </w:r>
      <w:r w:rsidR="00B6220A" w:rsidRPr="00977215">
        <w:rPr>
          <w:rFonts w:ascii="Arial" w:hAnsi="Arial" w:cs="Arial"/>
          <w:b/>
          <w:color w:val="auto"/>
          <w:u w:val="single"/>
        </w:rPr>
        <w:t xml:space="preserve"> </w:t>
      </w:r>
      <w:r w:rsidR="009C7273" w:rsidRPr="00977215">
        <w:rPr>
          <w:rFonts w:ascii="Arial" w:hAnsi="Arial" w:cs="Arial"/>
          <w:b/>
          <w:color w:val="auto"/>
          <w:u w:val="single"/>
        </w:rPr>
        <w:t>–</w:t>
      </w:r>
      <w:r w:rsidR="009F493C" w:rsidRPr="00977215">
        <w:rPr>
          <w:rFonts w:ascii="Arial" w:hAnsi="Arial" w:cs="Arial"/>
          <w:b/>
          <w:color w:val="auto"/>
          <w:u w:val="single"/>
        </w:rPr>
        <w:t xml:space="preserve"> </w:t>
      </w:r>
      <w:r w:rsidR="009C7273" w:rsidRPr="00977215">
        <w:rPr>
          <w:rFonts w:ascii="Arial" w:hAnsi="Arial" w:cs="Arial"/>
          <w:b/>
          <w:color w:val="auto"/>
          <w:u w:val="single"/>
        </w:rPr>
        <w:t xml:space="preserve">Annual </w:t>
      </w:r>
      <w:r w:rsidR="0041275E" w:rsidRPr="00977215">
        <w:rPr>
          <w:rFonts w:ascii="Arial" w:hAnsi="Arial" w:cs="Arial"/>
          <w:b/>
          <w:color w:val="auto"/>
          <w:u w:val="single"/>
        </w:rPr>
        <w:t>Implementation Statement</w:t>
      </w:r>
    </w:p>
    <w:p w14:paraId="4CA39C10" w14:textId="136B9F33" w:rsidR="009C7273" w:rsidRPr="00977215" w:rsidRDefault="009C7273" w:rsidP="003D41F8">
      <w:pPr>
        <w:jc w:val="both"/>
        <w:rPr>
          <w:rFonts w:ascii="Arial" w:hAnsi="Arial" w:cs="Arial"/>
          <w:b/>
          <w:color w:val="auto"/>
          <w:u w:val="single"/>
        </w:rPr>
      </w:pPr>
      <w:r w:rsidRPr="00977215">
        <w:rPr>
          <w:rFonts w:ascii="Arial" w:hAnsi="Arial" w:cs="Arial"/>
          <w:b/>
          <w:color w:val="auto"/>
          <w:u w:val="single"/>
        </w:rPr>
        <w:t>Introduction</w:t>
      </w:r>
    </w:p>
    <w:p w14:paraId="3BA6FC23" w14:textId="2E3450F8" w:rsidR="009C7273" w:rsidRPr="00977215" w:rsidRDefault="009C7273" w:rsidP="003D41F8">
      <w:pPr>
        <w:jc w:val="both"/>
        <w:rPr>
          <w:rFonts w:ascii="Arial" w:hAnsi="Arial" w:cs="Arial"/>
          <w:color w:val="auto"/>
        </w:rPr>
      </w:pPr>
      <w:r w:rsidRPr="00977215">
        <w:rPr>
          <w:rFonts w:ascii="Arial" w:hAnsi="Arial" w:cs="Arial"/>
          <w:color w:val="auto"/>
        </w:rPr>
        <w:t xml:space="preserve">This statement sets out how, and the extent to which, the Statement of Investment </w:t>
      </w:r>
      <w:proofErr w:type="gramStart"/>
      <w:r w:rsidRPr="00977215">
        <w:rPr>
          <w:rFonts w:ascii="Arial" w:hAnsi="Arial" w:cs="Arial"/>
          <w:color w:val="auto"/>
        </w:rPr>
        <w:t xml:space="preserve">Principles </w:t>
      </w:r>
      <w:r w:rsidR="00084340" w:rsidRPr="00977215">
        <w:rPr>
          <w:rFonts w:ascii="Arial" w:hAnsi="Arial" w:cs="Arial"/>
          <w:color w:val="auto"/>
        </w:rPr>
        <w:t>(‘</w:t>
      </w:r>
      <w:proofErr w:type="gramEnd"/>
      <w:r w:rsidR="00084340" w:rsidRPr="00977215">
        <w:rPr>
          <w:rFonts w:ascii="Arial" w:hAnsi="Arial" w:cs="Arial"/>
          <w:color w:val="auto"/>
        </w:rPr>
        <w:t xml:space="preserve">SIP’) produced by the Trustee </w:t>
      </w:r>
      <w:r w:rsidRPr="00977215">
        <w:rPr>
          <w:rFonts w:ascii="Arial" w:hAnsi="Arial" w:cs="Arial"/>
          <w:color w:val="auto"/>
        </w:rPr>
        <w:t xml:space="preserve">has been followed during the </w:t>
      </w:r>
      <w:proofErr w:type="gramStart"/>
      <w:r w:rsidRPr="00977215">
        <w:rPr>
          <w:rFonts w:ascii="Arial" w:hAnsi="Arial" w:cs="Arial"/>
          <w:color w:val="auto"/>
        </w:rPr>
        <w:t>year to</w:t>
      </w:r>
      <w:proofErr w:type="gramEnd"/>
      <w:r w:rsidRPr="00977215">
        <w:rPr>
          <w:rFonts w:ascii="Arial" w:hAnsi="Arial" w:cs="Arial"/>
          <w:color w:val="auto"/>
        </w:rPr>
        <w:t xml:space="preserve"> </w:t>
      </w:r>
      <w:r w:rsidR="009E3D40" w:rsidRPr="00977215">
        <w:rPr>
          <w:rFonts w:ascii="Arial" w:hAnsi="Arial" w:cs="Arial"/>
          <w:color w:val="auto"/>
        </w:rPr>
        <w:t>3</w:t>
      </w:r>
      <w:r w:rsidR="00D13DBF" w:rsidRPr="00977215">
        <w:rPr>
          <w:rFonts w:ascii="Arial" w:hAnsi="Arial" w:cs="Arial"/>
          <w:color w:val="auto"/>
        </w:rPr>
        <w:t>1</w:t>
      </w:r>
      <w:r w:rsidR="009E3D40" w:rsidRPr="00977215">
        <w:rPr>
          <w:rFonts w:ascii="Arial" w:hAnsi="Arial" w:cs="Arial"/>
          <w:color w:val="auto"/>
        </w:rPr>
        <w:t xml:space="preserve"> </w:t>
      </w:r>
      <w:r w:rsidR="00E5296E" w:rsidRPr="00977215">
        <w:rPr>
          <w:rFonts w:ascii="Arial" w:hAnsi="Arial" w:cs="Arial"/>
          <w:color w:val="auto"/>
        </w:rPr>
        <w:t xml:space="preserve">March </w:t>
      </w:r>
      <w:r w:rsidR="00084340" w:rsidRPr="00977215">
        <w:rPr>
          <w:rFonts w:ascii="Arial" w:hAnsi="Arial" w:cs="Arial"/>
          <w:color w:val="auto"/>
        </w:rPr>
        <w:t>202</w:t>
      </w:r>
      <w:r w:rsidR="00064678">
        <w:rPr>
          <w:rFonts w:ascii="Arial" w:hAnsi="Arial" w:cs="Arial"/>
          <w:color w:val="auto"/>
        </w:rPr>
        <w:t>5</w:t>
      </w:r>
      <w:r w:rsidR="00C7467D" w:rsidRPr="00977215">
        <w:rPr>
          <w:rFonts w:ascii="Arial" w:hAnsi="Arial" w:cs="Arial"/>
          <w:color w:val="auto"/>
        </w:rPr>
        <w:t xml:space="preserve">. </w:t>
      </w:r>
      <w:r w:rsidRPr="00977215">
        <w:rPr>
          <w:rFonts w:ascii="Arial" w:hAnsi="Arial" w:cs="Arial"/>
          <w:color w:val="auto"/>
        </w:rPr>
        <w:t>This statement has been produced in accordance with The Pension Protection Fund (Pensionable Service) and Occupational Pension Schemes (Investment and Disclosure) (Amendment and Modification) Regulations 201</w:t>
      </w:r>
      <w:r w:rsidR="004A243A" w:rsidRPr="00977215">
        <w:rPr>
          <w:rFonts w:ascii="Arial" w:hAnsi="Arial" w:cs="Arial"/>
          <w:color w:val="auto"/>
        </w:rPr>
        <w:t>9</w:t>
      </w:r>
      <w:r w:rsidRPr="00977215">
        <w:rPr>
          <w:rFonts w:ascii="Arial" w:hAnsi="Arial" w:cs="Arial"/>
          <w:color w:val="auto"/>
        </w:rPr>
        <w:t xml:space="preserve"> </w:t>
      </w:r>
      <w:r w:rsidR="004A243A" w:rsidRPr="00977215">
        <w:rPr>
          <w:rFonts w:ascii="Arial" w:hAnsi="Arial" w:cs="Arial"/>
          <w:color w:val="auto"/>
        </w:rPr>
        <w:t xml:space="preserve">(as amended) </w:t>
      </w:r>
      <w:r w:rsidRPr="00977215">
        <w:rPr>
          <w:rFonts w:ascii="Arial" w:hAnsi="Arial" w:cs="Arial"/>
          <w:color w:val="auto"/>
        </w:rPr>
        <w:t>and the guidance published by the Pensions Regulator.</w:t>
      </w:r>
    </w:p>
    <w:p w14:paraId="707D69A9" w14:textId="6B97AD5A" w:rsidR="00251805" w:rsidRPr="00977215" w:rsidRDefault="00084340" w:rsidP="003D41F8">
      <w:pPr>
        <w:jc w:val="both"/>
        <w:rPr>
          <w:rFonts w:ascii="Arial" w:hAnsi="Arial" w:cs="Arial"/>
          <w:b/>
          <w:i/>
          <w:color w:val="auto"/>
        </w:rPr>
      </w:pPr>
      <w:r w:rsidRPr="00977215">
        <w:rPr>
          <w:rFonts w:ascii="Arial" w:hAnsi="Arial" w:cs="Arial"/>
          <w:b/>
          <w:color w:val="auto"/>
          <w:u w:val="single"/>
        </w:rPr>
        <w:t>I</w:t>
      </w:r>
      <w:r w:rsidR="007F4E8B" w:rsidRPr="00977215">
        <w:rPr>
          <w:rFonts w:ascii="Arial" w:hAnsi="Arial" w:cs="Arial"/>
          <w:b/>
          <w:color w:val="auto"/>
          <w:u w:val="single"/>
        </w:rPr>
        <w:t xml:space="preserve">nvestment Objectives of the </w:t>
      </w:r>
      <w:r w:rsidR="00FB005E">
        <w:rPr>
          <w:rFonts w:ascii="Arial" w:hAnsi="Arial" w:cs="Arial"/>
          <w:b/>
          <w:color w:val="auto"/>
          <w:u w:val="single"/>
        </w:rPr>
        <w:t>Scheme</w:t>
      </w:r>
    </w:p>
    <w:p w14:paraId="61C34198" w14:textId="4E7E6B6E" w:rsidR="0034415B" w:rsidRPr="00977215" w:rsidRDefault="00084340" w:rsidP="003D41F8">
      <w:pPr>
        <w:spacing w:before="240"/>
        <w:jc w:val="both"/>
        <w:rPr>
          <w:rFonts w:ascii="Arial" w:hAnsi="Arial" w:cs="Arial"/>
          <w:color w:val="auto"/>
        </w:rPr>
      </w:pPr>
      <w:r w:rsidRPr="00977215">
        <w:rPr>
          <w:rFonts w:ascii="Arial" w:hAnsi="Arial" w:cs="Arial"/>
          <w:color w:val="auto"/>
        </w:rPr>
        <w:t>The Trust</w:t>
      </w:r>
      <w:r w:rsidR="007F4E8B" w:rsidRPr="00977215">
        <w:rPr>
          <w:rFonts w:ascii="Arial" w:hAnsi="Arial" w:cs="Arial"/>
          <w:color w:val="auto"/>
        </w:rPr>
        <w:t>ee</w:t>
      </w:r>
      <w:r w:rsidR="00251805" w:rsidRPr="00977215">
        <w:rPr>
          <w:rFonts w:ascii="Arial" w:hAnsi="Arial" w:cs="Arial"/>
          <w:color w:val="auto"/>
        </w:rPr>
        <w:t xml:space="preserve"> believe</w:t>
      </w:r>
      <w:r w:rsidR="00B45774" w:rsidRPr="00977215">
        <w:rPr>
          <w:rFonts w:ascii="Arial" w:hAnsi="Arial" w:cs="Arial"/>
          <w:color w:val="auto"/>
        </w:rPr>
        <w:t>s</w:t>
      </w:r>
      <w:r w:rsidR="00251805" w:rsidRPr="00977215">
        <w:rPr>
          <w:rFonts w:ascii="Arial" w:hAnsi="Arial" w:cs="Arial"/>
          <w:color w:val="auto"/>
        </w:rPr>
        <w:t xml:space="preserve"> it is important to consider the polic</w:t>
      </w:r>
      <w:r w:rsidR="00B45774" w:rsidRPr="00977215">
        <w:rPr>
          <w:rFonts w:ascii="Arial" w:hAnsi="Arial" w:cs="Arial"/>
          <w:color w:val="auto"/>
        </w:rPr>
        <w:t>ies</w:t>
      </w:r>
      <w:r w:rsidR="00251805" w:rsidRPr="00977215">
        <w:rPr>
          <w:rFonts w:ascii="Arial" w:hAnsi="Arial" w:cs="Arial"/>
          <w:color w:val="auto"/>
        </w:rPr>
        <w:t xml:space="preserve"> in place in the context of the investment objectives </w:t>
      </w:r>
      <w:r w:rsidR="00822413" w:rsidRPr="00977215">
        <w:rPr>
          <w:rFonts w:ascii="Arial" w:hAnsi="Arial" w:cs="Arial"/>
          <w:color w:val="auto"/>
        </w:rPr>
        <w:t>it</w:t>
      </w:r>
      <w:r w:rsidR="00251805" w:rsidRPr="00977215">
        <w:rPr>
          <w:rFonts w:ascii="Arial" w:hAnsi="Arial" w:cs="Arial"/>
          <w:color w:val="auto"/>
        </w:rPr>
        <w:t xml:space="preserve"> ha</w:t>
      </w:r>
      <w:r w:rsidR="00822413" w:rsidRPr="00977215">
        <w:rPr>
          <w:rFonts w:ascii="Arial" w:hAnsi="Arial" w:cs="Arial"/>
          <w:color w:val="auto"/>
        </w:rPr>
        <w:t>s</w:t>
      </w:r>
      <w:r w:rsidR="00251805" w:rsidRPr="00977215">
        <w:rPr>
          <w:rFonts w:ascii="Arial" w:hAnsi="Arial" w:cs="Arial"/>
          <w:color w:val="auto"/>
        </w:rPr>
        <w:t xml:space="preserve"> set.</w:t>
      </w:r>
      <w:r w:rsidR="00810D63" w:rsidRPr="00977215">
        <w:rPr>
          <w:rFonts w:ascii="Arial" w:hAnsi="Arial" w:cs="Arial"/>
          <w:color w:val="auto"/>
        </w:rPr>
        <w:t xml:space="preserve"> The objectives of the </w:t>
      </w:r>
      <w:r w:rsidR="00AF1F69">
        <w:rPr>
          <w:rFonts w:ascii="Arial" w:hAnsi="Arial" w:cs="Arial"/>
          <w:color w:val="auto"/>
        </w:rPr>
        <w:t>Trustee</w:t>
      </w:r>
      <w:r w:rsidR="00B45774" w:rsidRPr="00977215">
        <w:rPr>
          <w:rFonts w:ascii="Arial" w:hAnsi="Arial" w:cs="Arial"/>
          <w:color w:val="auto"/>
        </w:rPr>
        <w:t xml:space="preserve"> </w:t>
      </w:r>
      <w:r w:rsidR="00810D63" w:rsidRPr="00977215">
        <w:rPr>
          <w:rFonts w:ascii="Arial" w:hAnsi="Arial" w:cs="Arial"/>
          <w:color w:val="auto"/>
        </w:rPr>
        <w:t>included in the SIP are as follows:</w:t>
      </w:r>
    </w:p>
    <w:p w14:paraId="2E980317" w14:textId="7547174D" w:rsidR="00E5296E" w:rsidRDefault="00E5296E" w:rsidP="003D41F8">
      <w:pPr>
        <w:pStyle w:val="ListParagraph"/>
        <w:numPr>
          <w:ilvl w:val="0"/>
          <w:numId w:val="20"/>
        </w:numPr>
        <w:spacing w:after="160" w:line="259" w:lineRule="auto"/>
        <w:jc w:val="both"/>
        <w:rPr>
          <w:rFonts w:ascii="Arial" w:hAnsi="Arial" w:cs="Arial"/>
          <w:color w:val="auto"/>
        </w:rPr>
      </w:pPr>
      <w:r w:rsidRPr="00977215">
        <w:rPr>
          <w:rFonts w:ascii="Arial" w:hAnsi="Arial" w:cs="Arial"/>
          <w:color w:val="auto"/>
        </w:rPr>
        <w:t xml:space="preserve">To </w:t>
      </w:r>
      <w:r w:rsidR="003A47DD">
        <w:rPr>
          <w:rFonts w:ascii="Arial" w:hAnsi="Arial" w:cs="Arial"/>
          <w:color w:val="auto"/>
        </w:rPr>
        <w:t>improve</w:t>
      </w:r>
      <w:r w:rsidRPr="00977215">
        <w:rPr>
          <w:rFonts w:ascii="Arial" w:hAnsi="Arial" w:cs="Arial"/>
          <w:color w:val="auto"/>
        </w:rPr>
        <w:t xml:space="preserve"> the Scheme’s funding position, </w:t>
      </w:r>
      <w:r w:rsidR="00DB0108" w:rsidRPr="00977215">
        <w:rPr>
          <w:rFonts w:ascii="Arial" w:hAnsi="Arial" w:cs="Arial"/>
          <w:color w:val="auto"/>
        </w:rPr>
        <w:t xml:space="preserve">taking account of </w:t>
      </w:r>
      <w:proofErr w:type="gramStart"/>
      <w:r w:rsidR="00DB0108" w:rsidRPr="00977215">
        <w:rPr>
          <w:rFonts w:ascii="Arial" w:hAnsi="Arial" w:cs="Arial"/>
          <w:color w:val="auto"/>
        </w:rPr>
        <w:t>short term</w:t>
      </w:r>
      <w:proofErr w:type="gramEnd"/>
      <w:r w:rsidR="00DB0108" w:rsidRPr="00977215">
        <w:rPr>
          <w:rFonts w:ascii="Arial" w:hAnsi="Arial" w:cs="Arial"/>
          <w:color w:val="auto"/>
        </w:rPr>
        <w:t xml:space="preserve"> </w:t>
      </w:r>
      <w:r w:rsidRPr="00977215">
        <w:rPr>
          <w:rFonts w:ascii="Arial" w:hAnsi="Arial" w:cs="Arial"/>
          <w:color w:val="auto"/>
        </w:rPr>
        <w:t>fluctuations.</w:t>
      </w:r>
    </w:p>
    <w:p w14:paraId="1DD1211A" w14:textId="3DA9ED16" w:rsidR="003A47DD" w:rsidRPr="00977215" w:rsidRDefault="003A47DD" w:rsidP="003D41F8">
      <w:pPr>
        <w:pStyle w:val="ListParagraph"/>
        <w:numPr>
          <w:ilvl w:val="0"/>
          <w:numId w:val="20"/>
        </w:numPr>
        <w:spacing w:after="160" w:line="259" w:lineRule="auto"/>
        <w:jc w:val="both"/>
        <w:rPr>
          <w:rFonts w:ascii="Arial" w:hAnsi="Arial" w:cs="Arial"/>
          <w:color w:val="auto"/>
        </w:rPr>
      </w:pPr>
      <w:r>
        <w:rPr>
          <w:rFonts w:ascii="Arial" w:hAnsi="Arial" w:cs="Arial"/>
          <w:color w:val="auto"/>
        </w:rPr>
        <w:t>To control funding level volatility on a Solvency basis via the investment strategy</w:t>
      </w:r>
    </w:p>
    <w:p w14:paraId="18BB4CCB" w14:textId="77777777" w:rsidR="00E5296E" w:rsidRPr="00977215" w:rsidRDefault="00E5296E" w:rsidP="003D41F8">
      <w:pPr>
        <w:pStyle w:val="ListParagraph"/>
        <w:numPr>
          <w:ilvl w:val="0"/>
          <w:numId w:val="20"/>
        </w:numPr>
        <w:spacing w:after="160" w:line="259" w:lineRule="auto"/>
        <w:jc w:val="both"/>
        <w:rPr>
          <w:rFonts w:ascii="Arial" w:hAnsi="Arial" w:cs="Arial"/>
          <w:color w:val="auto"/>
        </w:rPr>
      </w:pPr>
      <w:r w:rsidRPr="00977215">
        <w:rPr>
          <w:rFonts w:ascii="Arial" w:hAnsi="Arial" w:cs="Arial"/>
          <w:color w:val="auto"/>
        </w:rPr>
        <w:t xml:space="preserve">To ensure that it can meet its obligation </w:t>
      </w:r>
      <w:proofErr w:type="gramStart"/>
      <w:r w:rsidRPr="00977215">
        <w:rPr>
          <w:rFonts w:ascii="Arial" w:hAnsi="Arial" w:cs="Arial"/>
          <w:color w:val="auto"/>
        </w:rPr>
        <w:t>to</w:t>
      </w:r>
      <w:proofErr w:type="gramEnd"/>
      <w:r w:rsidRPr="00977215">
        <w:rPr>
          <w:rFonts w:ascii="Arial" w:hAnsi="Arial" w:cs="Arial"/>
          <w:color w:val="auto"/>
        </w:rPr>
        <w:t xml:space="preserve"> the beneficiaries of the Scheme.</w:t>
      </w:r>
    </w:p>
    <w:p w14:paraId="647DCD81" w14:textId="00DC3E1B" w:rsidR="00E5296E" w:rsidRPr="00977215" w:rsidRDefault="00E5296E" w:rsidP="003D41F8">
      <w:pPr>
        <w:pStyle w:val="ListParagraph"/>
        <w:numPr>
          <w:ilvl w:val="0"/>
          <w:numId w:val="20"/>
        </w:numPr>
        <w:spacing w:after="160" w:line="259" w:lineRule="auto"/>
        <w:jc w:val="both"/>
        <w:rPr>
          <w:rFonts w:ascii="Arial" w:hAnsi="Arial" w:cs="Arial"/>
          <w:color w:val="auto"/>
        </w:rPr>
      </w:pPr>
      <w:r w:rsidRPr="00977215">
        <w:rPr>
          <w:rFonts w:ascii="Arial" w:hAnsi="Arial" w:cs="Arial"/>
          <w:color w:val="auto"/>
        </w:rPr>
        <w:t>To ensure that the Scheme’s investment and funding strategies are consistent.</w:t>
      </w:r>
    </w:p>
    <w:p w14:paraId="0DA1036B" w14:textId="77777777" w:rsidR="00B45774" w:rsidRPr="00977215" w:rsidRDefault="00B45774" w:rsidP="003D41F8">
      <w:pPr>
        <w:jc w:val="both"/>
        <w:rPr>
          <w:rFonts w:ascii="Arial" w:hAnsi="Arial" w:cs="Arial"/>
          <w:b/>
          <w:color w:val="auto"/>
          <w:u w:val="single"/>
        </w:rPr>
      </w:pPr>
      <w:r w:rsidRPr="00977215">
        <w:rPr>
          <w:rFonts w:ascii="Arial" w:hAnsi="Arial" w:cs="Arial"/>
          <w:b/>
          <w:color w:val="auto"/>
          <w:u w:val="single"/>
        </w:rPr>
        <w:t>Review of the SIP</w:t>
      </w:r>
    </w:p>
    <w:p w14:paraId="1C7F6249" w14:textId="36873E64" w:rsidR="004F0EF1" w:rsidRPr="00977215" w:rsidRDefault="003802CA" w:rsidP="0049314B">
      <w:pPr>
        <w:spacing w:after="160" w:line="259" w:lineRule="auto"/>
        <w:jc w:val="both"/>
        <w:rPr>
          <w:rFonts w:ascii="Arial" w:hAnsi="Arial" w:cs="Arial"/>
          <w:color w:val="auto"/>
        </w:rPr>
        <w:sectPr w:rsidR="004F0EF1" w:rsidRPr="00977215" w:rsidSect="00DA68D3">
          <w:headerReference w:type="default" r:id="rId11"/>
          <w:type w:val="continuous"/>
          <w:pgSz w:w="11907" w:h="16839"/>
          <w:pgMar w:top="1440" w:right="1440" w:bottom="1440" w:left="1440" w:header="850" w:footer="737" w:gutter="0"/>
          <w:cols w:space="720"/>
          <w:titlePg/>
          <w:docGrid w:linePitch="299"/>
        </w:sectPr>
      </w:pPr>
      <w:r>
        <w:rPr>
          <w:rFonts w:ascii="Arial" w:hAnsi="Arial" w:cs="Arial"/>
          <w:color w:val="auto"/>
        </w:rPr>
        <w:t xml:space="preserve">The SIP was reviewed and updated in </w:t>
      </w:r>
      <w:r w:rsidR="003A47DD">
        <w:rPr>
          <w:rFonts w:ascii="Arial" w:hAnsi="Arial" w:cs="Arial"/>
          <w:color w:val="auto"/>
        </w:rPr>
        <w:t>March 2025</w:t>
      </w:r>
      <w:r>
        <w:rPr>
          <w:rFonts w:ascii="Arial" w:hAnsi="Arial" w:cs="Arial"/>
          <w:color w:val="auto"/>
        </w:rPr>
        <w:t xml:space="preserve"> to reflect the adoption of revised liability hedge ratio targets</w:t>
      </w:r>
      <w:r w:rsidR="003A47DD">
        <w:rPr>
          <w:rFonts w:ascii="Arial" w:hAnsi="Arial" w:cs="Arial"/>
          <w:color w:val="auto"/>
        </w:rPr>
        <w:t xml:space="preserve">, </w:t>
      </w:r>
      <w:r w:rsidR="00AF1F69">
        <w:rPr>
          <w:rFonts w:ascii="Arial" w:hAnsi="Arial" w:cs="Arial"/>
          <w:color w:val="auto"/>
        </w:rPr>
        <w:t xml:space="preserve">an </w:t>
      </w:r>
      <w:r w:rsidR="003A47DD">
        <w:rPr>
          <w:rFonts w:ascii="Arial" w:hAnsi="Arial" w:cs="Arial"/>
          <w:color w:val="auto"/>
        </w:rPr>
        <w:t xml:space="preserve">increased strategic allocation to the Scheme’s LDI portfolio </w:t>
      </w:r>
      <w:r>
        <w:rPr>
          <w:rFonts w:ascii="Arial" w:hAnsi="Arial" w:cs="Arial"/>
          <w:color w:val="auto"/>
        </w:rPr>
        <w:t xml:space="preserve">and </w:t>
      </w:r>
      <w:r w:rsidR="003A47DD">
        <w:rPr>
          <w:rFonts w:ascii="Arial" w:hAnsi="Arial" w:cs="Arial"/>
          <w:color w:val="auto"/>
        </w:rPr>
        <w:t>disinvestment from the Apollo MAC fund.</w:t>
      </w:r>
    </w:p>
    <w:p w14:paraId="74A16C1C" w14:textId="0250FF22" w:rsidR="00C9594C" w:rsidRPr="00977215" w:rsidRDefault="00C9594C" w:rsidP="003D41F8">
      <w:pPr>
        <w:jc w:val="both"/>
        <w:rPr>
          <w:rFonts w:ascii="Arial" w:hAnsi="Arial" w:cs="Arial"/>
          <w:b/>
          <w:color w:val="auto"/>
          <w:u w:val="single"/>
        </w:rPr>
      </w:pPr>
      <w:r w:rsidRPr="00977215">
        <w:rPr>
          <w:rFonts w:ascii="Arial" w:hAnsi="Arial" w:cs="Arial"/>
          <w:b/>
          <w:color w:val="auto"/>
          <w:u w:val="single"/>
        </w:rPr>
        <w:lastRenderedPageBreak/>
        <w:t xml:space="preserve">Assessment of how the policies in the SIP have been followed for the </w:t>
      </w:r>
      <w:proofErr w:type="gramStart"/>
      <w:r w:rsidRPr="00977215">
        <w:rPr>
          <w:rFonts w:ascii="Arial" w:hAnsi="Arial" w:cs="Arial"/>
          <w:b/>
          <w:color w:val="auto"/>
          <w:u w:val="single"/>
        </w:rPr>
        <w:t>year to</w:t>
      </w:r>
      <w:proofErr w:type="gramEnd"/>
      <w:r w:rsidRPr="00977215">
        <w:rPr>
          <w:rFonts w:ascii="Arial" w:hAnsi="Arial" w:cs="Arial"/>
          <w:b/>
          <w:color w:val="auto"/>
          <w:u w:val="single"/>
        </w:rPr>
        <w:t xml:space="preserve"> 31 March 202</w:t>
      </w:r>
      <w:r w:rsidR="003A47DD">
        <w:rPr>
          <w:rFonts w:ascii="Arial" w:hAnsi="Arial" w:cs="Arial"/>
          <w:b/>
          <w:color w:val="auto"/>
          <w:u w:val="single"/>
        </w:rPr>
        <w:t>5</w:t>
      </w:r>
    </w:p>
    <w:p w14:paraId="6170CF2F" w14:textId="21A4E8D7" w:rsidR="00C9594C" w:rsidRPr="00977215" w:rsidRDefault="00C9594C" w:rsidP="003D41F8">
      <w:pPr>
        <w:jc w:val="both"/>
        <w:rPr>
          <w:rFonts w:ascii="Arial" w:hAnsi="Arial" w:cs="Arial"/>
          <w:color w:val="auto"/>
        </w:rPr>
      </w:pPr>
      <w:r w:rsidRPr="00977215">
        <w:rPr>
          <w:rFonts w:ascii="Arial" w:hAnsi="Arial" w:cs="Arial"/>
          <w:color w:val="auto"/>
        </w:rPr>
        <w:t xml:space="preserve">The information provided in this section highlights the work undertaken by the Trustee during the year, and longer term where relevant, and sets out how this work followed the Trustee’s policies in the SIP.  The SIP sets out in detail the policies </w:t>
      </w:r>
      <w:proofErr w:type="spellStart"/>
      <w:r w:rsidRPr="00977215">
        <w:rPr>
          <w:rFonts w:ascii="Arial" w:hAnsi="Arial" w:cs="Arial"/>
          <w:color w:val="auto"/>
        </w:rPr>
        <w:t>summarised</w:t>
      </w:r>
      <w:proofErr w:type="spellEnd"/>
      <w:r w:rsidRPr="00977215">
        <w:rPr>
          <w:rFonts w:ascii="Arial" w:hAnsi="Arial" w:cs="Arial"/>
          <w:color w:val="auto"/>
        </w:rPr>
        <w:t xml:space="preserve"> below.</w:t>
      </w:r>
    </w:p>
    <w:tbl>
      <w:tblPr>
        <w:tblStyle w:val="TableGrid"/>
        <w:tblW w:w="14029" w:type="dxa"/>
        <w:tblLayout w:type="fixed"/>
        <w:tblLook w:val="04A0" w:firstRow="1" w:lastRow="0" w:firstColumn="1" w:lastColumn="0" w:noHBand="0" w:noVBand="1"/>
      </w:tblPr>
      <w:tblGrid>
        <w:gridCol w:w="461"/>
        <w:gridCol w:w="2520"/>
        <w:gridCol w:w="5236"/>
        <w:gridCol w:w="5812"/>
      </w:tblGrid>
      <w:tr w:rsidR="003D41F8" w:rsidRPr="006C109D" w14:paraId="0A8526C0" w14:textId="77777777" w:rsidTr="004D028C">
        <w:trPr>
          <w:trHeight w:val="557"/>
        </w:trPr>
        <w:tc>
          <w:tcPr>
            <w:tcW w:w="461" w:type="dxa"/>
          </w:tcPr>
          <w:p w14:paraId="230B0344" w14:textId="77777777" w:rsidR="00C9594C" w:rsidRPr="00977215" w:rsidRDefault="00C9594C" w:rsidP="003D41F8">
            <w:pPr>
              <w:jc w:val="both"/>
              <w:rPr>
                <w:rFonts w:ascii="Arial" w:hAnsi="Arial" w:cs="Arial"/>
                <w:b/>
                <w:color w:val="auto"/>
              </w:rPr>
            </w:pPr>
          </w:p>
        </w:tc>
        <w:tc>
          <w:tcPr>
            <w:tcW w:w="2520" w:type="dxa"/>
          </w:tcPr>
          <w:p w14:paraId="7888FE8C" w14:textId="77777777" w:rsidR="00C9594C" w:rsidRPr="00977215" w:rsidRDefault="00C9594C" w:rsidP="003D41F8">
            <w:pPr>
              <w:jc w:val="both"/>
              <w:rPr>
                <w:rFonts w:ascii="Arial" w:hAnsi="Arial" w:cs="Arial"/>
                <w:b/>
                <w:color w:val="auto"/>
              </w:rPr>
            </w:pPr>
            <w:r w:rsidRPr="00977215">
              <w:rPr>
                <w:rFonts w:ascii="Arial" w:hAnsi="Arial" w:cs="Arial"/>
                <w:b/>
                <w:color w:val="auto"/>
              </w:rPr>
              <w:t>Requirement</w:t>
            </w:r>
          </w:p>
        </w:tc>
        <w:tc>
          <w:tcPr>
            <w:tcW w:w="5236" w:type="dxa"/>
          </w:tcPr>
          <w:p w14:paraId="3A9A3F90" w14:textId="77777777" w:rsidR="00C9594C" w:rsidRPr="00977215" w:rsidRDefault="00C9594C" w:rsidP="003D41F8">
            <w:pPr>
              <w:jc w:val="both"/>
              <w:rPr>
                <w:rFonts w:ascii="Arial" w:hAnsi="Arial" w:cs="Arial"/>
                <w:b/>
                <w:color w:val="auto"/>
              </w:rPr>
            </w:pPr>
            <w:r w:rsidRPr="00977215">
              <w:rPr>
                <w:rFonts w:ascii="Arial" w:hAnsi="Arial" w:cs="Arial"/>
                <w:b/>
                <w:color w:val="auto"/>
              </w:rPr>
              <w:t>Summary of Policy</w:t>
            </w:r>
          </w:p>
        </w:tc>
        <w:tc>
          <w:tcPr>
            <w:tcW w:w="5812" w:type="dxa"/>
          </w:tcPr>
          <w:p w14:paraId="4A855725" w14:textId="41C8ED00" w:rsidR="00C9594C" w:rsidRPr="00977215" w:rsidRDefault="00C9594C" w:rsidP="003D41F8">
            <w:pPr>
              <w:jc w:val="both"/>
              <w:rPr>
                <w:rFonts w:ascii="Arial" w:hAnsi="Arial" w:cs="Arial"/>
                <w:b/>
                <w:color w:val="auto"/>
              </w:rPr>
            </w:pPr>
            <w:r w:rsidRPr="00977215">
              <w:rPr>
                <w:rFonts w:ascii="Arial" w:hAnsi="Arial" w:cs="Arial"/>
                <w:b/>
                <w:color w:val="auto"/>
              </w:rPr>
              <w:t>In the year to 31 March 202</w:t>
            </w:r>
            <w:r w:rsidR="003A47DD">
              <w:rPr>
                <w:rFonts w:ascii="Arial" w:hAnsi="Arial" w:cs="Arial"/>
                <w:b/>
                <w:color w:val="auto"/>
              </w:rPr>
              <w:t>5</w:t>
            </w:r>
          </w:p>
          <w:p w14:paraId="786D0C7E" w14:textId="77777777" w:rsidR="00C9594C" w:rsidRPr="00977215" w:rsidRDefault="00C9594C" w:rsidP="003D41F8">
            <w:pPr>
              <w:jc w:val="both"/>
              <w:rPr>
                <w:rFonts w:ascii="Arial" w:hAnsi="Arial" w:cs="Arial"/>
                <w:b/>
                <w:color w:val="auto"/>
              </w:rPr>
            </w:pPr>
          </w:p>
        </w:tc>
      </w:tr>
      <w:tr w:rsidR="003D41F8" w:rsidRPr="006C109D" w14:paraId="721AA2C6" w14:textId="77777777" w:rsidTr="004D028C">
        <w:tc>
          <w:tcPr>
            <w:tcW w:w="461" w:type="dxa"/>
          </w:tcPr>
          <w:p w14:paraId="312C59A9" w14:textId="77777777" w:rsidR="00C9594C" w:rsidRPr="00977215" w:rsidRDefault="00C9594C" w:rsidP="003D41F8">
            <w:pPr>
              <w:jc w:val="both"/>
              <w:rPr>
                <w:rFonts w:ascii="Arial" w:hAnsi="Arial" w:cs="Arial"/>
                <w:color w:val="auto"/>
              </w:rPr>
            </w:pPr>
            <w:r w:rsidRPr="00977215">
              <w:rPr>
                <w:rFonts w:ascii="Arial" w:hAnsi="Arial" w:cs="Arial"/>
                <w:color w:val="auto"/>
              </w:rPr>
              <w:t>1</w:t>
            </w:r>
          </w:p>
        </w:tc>
        <w:tc>
          <w:tcPr>
            <w:tcW w:w="2520" w:type="dxa"/>
          </w:tcPr>
          <w:p w14:paraId="0D786DEE" w14:textId="77777777" w:rsidR="00C9594C" w:rsidRPr="00977215" w:rsidRDefault="00C9594C" w:rsidP="00701B33">
            <w:pPr>
              <w:rPr>
                <w:rFonts w:ascii="Arial" w:hAnsi="Arial" w:cs="Arial"/>
                <w:color w:val="auto"/>
              </w:rPr>
            </w:pPr>
            <w:r w:rsidRPr="00977215">
              <w:rPr>
                <w:rFonts w:ascii="Arial" w:hAnsi="Arial" w:cs="Arial"/>
                <w:color w:val="auto"/>
              </w:rPr>
              <w:t>Securing compliance with the legal requirements about choosing investments</w:t>
            </w:r>
          </w:p>
        </w:tc>
        <w:tc>
          <w:tcPr>
            <w:tcW w:w="5236" w:type="dxa"/>
          </w:tcPr>
          <w:p w14:paraId="601E0C84" w14:textId="77777777" w:rsidR="00C9594C" w:rsidRPr="00977215" w:rsidRDefault="00C9594C" w:rsidP="00701B33">
            <w:pPr>
              <w:rPr>
                <w:rFonts w:ascii="Arial" w:hAnsi="Arial" w:cs="Arial"/>
                <w:i/>
                <w:color w:val="auto"/>
              </w:rPr>
            </w:pPr>
            <w:r w:rsidRPr="00977215">
              <w:rPr>
                <w:rFonts w:ascii="Arial" w:hAnsi="Arial" w:cs="Arial"/>
                <w:i/>
                <w:color w:val="auto"/>
              </w:rPr>
              <w:t>In considering the appropriate investments for the Scheme the Trustee has obtained and considered the written advice of Mercer Limited, whom the Trustee believes to be suitably qualified to provide such advice.</w:t>
            </w:r>
          </w:p>
          <w:p w14:paraId="7BD3019C" w14:textId="77777777" w:rsidR="00C9594C" w:rsidRPr="00977215" w:rsidRDefault="00C9594C" w:rsidP="00701B33">
            <w:pPr>
              <w:rPr>
                <w:rFonts w:ascii="Arial" w:hAnsi="Arial" w:cs="Arial"/>
                <w:i/>
                <w:color w:val="auto"/>
              </w:rPr>
            </w:pPr>
            <w:r w:rsidRPr="00977215">
              <w:rPr>
                <w:rFonts w:ascii="Arial" w:hAnsi="Arial" w:cs="Arial"/>
                <w:i/>
                <w:color w:val="auto"/>
              </w:rPr>
              <w:t>The Trustee has also consulted NHBC, the Sponsoring Employer, in relation to its SIP and to ascertain whether there are any material issues of which the Trustee should be aware in agreeing the Scheme’s investment arrangements.</w:t>
            </w:r>
          </w:p>
        </w:tc>
        <w:tc>
          <w:tcPr>
            <w:tcW w:w="5812" w:type="dxa"/>
          </w:tcPr>
          <w:p w14:paraId="49FCBA32" w14:textId="0393D019" w:rsidR="00AF1F69" w:rsidRPr="003B0820" w:rsidRDefault="003802CA" w:rsidP="00701B33">
            <w:pPr>
              <w:rPr>
                <w:rFonts w:ascii="Arial" w:hAnsi="Arial" w:cs="Arial"/>
                <w:color w:val="auto"/>
              </w:rPr>
            </w:pPr>
            <w:r w:rsidRPr="003B0820">
              <w:rPr>
                <w:rFonts w:ascii="Arial" w:hAnsi="Arial" w:cs="Arial"/>
                <w:color w:val="auto"/>
              </w:rPr>
              <w:t>During the year the Scheme’s LDI portfolio was restructured</w:t>
            </w:r>
            <w:r w:rsidR="00B732AA" w:rsidRPr="003B0820">
              <w:rPr>
                <w:rFonts w:ascii="Arial" w:hAnsi="Arial" w:cs="Arial"/>
                <w:color w:val="auto"/>
              </w:rPr>
              <w:t>, increas</w:t>
            </w:r>
            <w:r w:rsidR="00AF1F69" w:rsidRPr="003B0820">
              <w:rPr>
                <w:rFonts w:ascii="Arial" w:hAnsi="Arial" w:cs="Arial"/>
                <w:color w:val="auto"/>
              </w:rPr>
              <w:t xml:space="preserve">ing </w:t>
            </w:r>
            <w:r w:rsidR="00B732AA" w:rsidRPr="003B0820">
              <w:rPr>
                <w:rFonts w:ascii="Arial" w:hAnsi="Arial" w:cs="Arial"/>
                <w:color w:val="auto"/>
              </w:rPr>
              <w:t xml:space="preserve">target hedge ratios </w:t>
            </w:r>
            <w:r w:rsidR="00AF1F69" w:rsidRPr="003B0820">
              <w:rPr>
                <w:rFonts w:ascii="Arial" w:hAnsi="Arial" w:cs="Arial"/>
                <w:color w:val="auto"/>
              </w:rPr>
              <w:t xml:space="preserve">for interest rates and inflation relative to </w:t>
            </w:r>
            <w:r w:rsidR="00B732AA" w:rsidRPr="003B0820">
              <w:rPr>
                <w:rFonts w:ascii="Arial" w:hAnsi="Arial" w:cs="Arial"/>
                <w:color w:val="auto"/>
              </w:rPr>
              <w:t>Technical Provisions from 90% to 100%</w:t>
            </w:r>
            <w:r w:rsidR="00A23211" w:rsidRPr="003B0820">
              <w:rPr>
                <w:rFonts w:ascii="Arial" w:hAnsi="Arial" w:cs="Arial"/>
                <w:color w:val="auto"/>
              </w:rPr>
              <w:t>.</w:t>
            </w:r>
            <w:r w:rsidR="00B732AA" w:rsidRPr="003B0820">
              <w:rPr>
                <w:rFonts w:ascii="Arial" w:hAnsi="Arial" w:cs="Arial"/>
                <w:color w:val="auto"/>
              </w:rPr>
              <w:t xml:space="preserve"> (estimated to be c.90% of Solvency liabilities).</w:t>
            </w:r>
          </w:p>
          <w:p w14:paraId="231D97F8" w14:textId="0870A24A" w:rsidR="00AF1F69" w:rsidRPr="003B0820" w:rsidRDefault="00A23211" w:rsidP="00701B33">
            <w:pPr>
              <w:rPr>
                <w:rFonts w:ascii="Arial" w:hAnsi="Arial" w:cs="Arial"/>
                <w:color w:val="auto"/>
              </w:rPr>
            </w:pPr>
            <w:r w:rsidRPr="003B0820">
              <w:rPr>
                <w:rFonts w:ascii="Arial" w:hAnsi="Arial" w:cs="Arial"/>
                <w:color w:val="auto"/>
              </w:rPr>
              <w:t>T</w:t>
            </w:r>
            <w:r w:rsidR="003802CA" w:rsidRPr="003B0820">
              <w:rPr>
                <w:rFonts w:ascii="Arial" w:hAnsi="Arial" w:cs="Arial"/>
                <w:color w:val="auto"/>
              </w:rPr>
              <w:t xml:space="preserve">he Trustee also </w:t>
            </w:r>
            <w:r w:rsidRPr="003B0820">
              <w:rPr>
                <w:rFonts w:ascii="Arial" w:hAnsi="Arial" w:cs="Arial"/>
                <w:color w:val="auto"/>
              </w:rPr>
              <w:t xml:space="preserve">instructed a full </w:t>
            </w:r>
            <w:r w:rsidR="003A47DD" w:rsidRPr="003B0820">
              <w:rPr>
                <w:rFonts w:ascii="Arial" w:hAnsi="Arial" w:cs="Arial"/>
                <w:color w:val="auto"/>
              </w:rPr>
              <w:t>disinvest</w:t>
            </w:r>
            <w:r w:rsidRPr="003B0820">
              <w:rPr>
                <w:rFonts w:ascii="Arial" w:hAnsi="Arial" w:cs="Arial"/>
                <w:color w:val="auto"/>
              </w:rPr>
              <w:t xml:space="preserve">ment </w:t>
            </w:r>
            <w:r w:rsidR="003A47DD" w:rsidRPr="003B0820">
              <w:rPr>
                <w:rFonts w:ascii="Arial" w:hAnsi="Arial" w:cs="Arial"/>
                <w:color w:val="auto"/>
              </w:rPr>
              <w:t xml:space="preserve">from the Apollo MAC </w:t>
            </w:r>
            <w:r w:rsidR="009A61EE" w:rsidRPr="003B0820">
              <w:rPr>
                <w:rFonts w:ascii="Arial" w:hAnsi="Arial" w:cs="Arial"/>
                <w:color w:val="auto"/>
              </w:rPr>
              <w:t>f</w:t>
            </w:r>
            <w:r w:rsidR="003A47DD" w:rsidRPr="003B0820">
              <w:rPr>
                <w:rFonts w:ascii="Arial" w:hAnsi="Arial" w:cs="Arial"/>
                <w:color w:val="auto"/>
              </w:rPr>
              <w:t xml:space="preserve">und </w:t>
            </w:r>
            <w:r w:rsidR="001D1350" w:rsidRPr="003B0820">
              <w:rPr>
                <w:rFonts w:ascii="Arial" w:hAnsi="Arial" w:cs="Arial"/>
                <w:color w:val="auto"/>
              </w:rPr>
              <w:t xml:space="preserve">in two tranches </w:t>
            </w:r>
            <w:r w:rsidR="00AF1F69" w:rsidRPr="003B0820">
              <w:rPr>
                <w:rFonts w:ascii="Arial" w:hAnsi="Arial" w:cs="Arial"/>
                <w:color w:val="auto"/>
              </w:rPr>
              <w:t>(</w:t>
            </w:r>
            <w:r w:rsidR="001D1350" w:rsidRPr="003B0820">
              <w:rPr>
                <w:rFonts w:ascii="Arial" w:hAnsi="Arial" w:cs="Arial"/>
                <w:color w:val="auto"/>
              </w:rPr>
              <w:t xml:space="preserve">1 January and </w:t>
            </w:r>
            <w:r w:rsidR="00AF1F69" w:rsidRPr="003B0820">
              <w:rPr>
                <w:rFonts w:ascii="Arial" w:hAnsi="Arial" w:cs="Arial"/>
                <w:color w:val="auto"/>
              </w:rPr>
              <w:t>1 April 2025</w:t>
            </w:r>
            <w:r w:rsidRPr="003B0820">
              <w:rPr>
                <w:rFonts w:ascii="Arial" w:hAnsi="Arial" w:cs="Arial"/>
                <w:color w:val="auto"/>
              </w:rPr>
              <w:t xml:space="preserve"> trade date</w:t>
            </w:r>
            <w:r w:rsidR="001D1350" w:rsidRPr="003B0820">
              <w:rPr>
                <w:rFonts w:ascii="Arial" w:hAnsi="Arial" w:cs="Arial"/>
                <w:color w:val="auto"/>
              </w:rPr>
              <w:t>s</w:t>
            </w:r>
            <w:r w:rsidR="00AF1F69" w:rsidRPr="003B0820">
              <w:rPr>
                <w:rFonts w:ascii="Arial" w:hAnsi="Arial" w:cs="Arial"/>
                <w:color w:val="auto"/>
              </w:rPr>
              <w:t xml:space="preserve">).  Proceeds </w:t>
            </w:r>
            <w:r w:rsidR="009A61EE" w:rsidRPr="003B0820">
              <w:rPr>
                <w:rFonts w:ascii="Arial" w:hAnsi="Arial" w:cs="Arial"/>
                <w:color w:val="auto"/>
              </w:rPr>
              <w:t xml:space="preserve">(net of </w:t>
            </w:r>
            <w:proofErr w:type="gramStart"/>
            <w:r w:rsidR="009A61EE" w:rsidRPr="003B0820">
              <w:rPr>
                <w:rFonts w:ascii="Arial" w:hAnsi="Arial" w:cs="Arial"/>
                <w:color w:val="auto"/>
              </w:rPr>
              <w:t>short term</w:t>
            </w:r>
            <w:proofErr w:type="gramEnd"/>
            <w:r w:rsidR="009A61EE" w:rsidRPr="003B0820">
              <w:rPr>
                <w:rFonts w:ascii="Arial" w:hAnsi="Arial" w:cs="Arial"/>
                <w:color w:val="auto"/>
              </w:rPr>
              <w:t xml:space="preserve"> cash requirements) </w:t>
            </w:r>
            <w:r w:rsidR="00AF1F69" w:rsidRPr="003B0820">
              <w:rPr>
                <w:rFonts w:ascii="Arial" w:hAnsi="Arial" w:cs="Arial"/>
                <w:color w:val="auto"/>
              </w:rPr>
              <w:t>were re-</w:t>
            </w:r>
            <w:r w:rsidR="006B6980" w:rsidRPr="003B0820">
              <w:rPr>
                <w:rFonts w:ascii="Arial" w:hAnsi="Arial" w:cs="Arial"/>
                <w:color w:val="auto"/>
              </w:rPr>
              <w:t>invested into the Scheme’s LDI portfolio</w:t>
            </w:r>
            <w:r w:rsidR="00AF1F69" w:rsidRPr="003B0820">
              <w:rPr>
                <w:rFonts w:ascii="Arial" w:hAnsi="Arial" w:cs="Arial"/>
                <w:color w:val="auto"/>
              </w:rPr>
              <w:t>.</w:t>
            </w:r>
          </w:p>
          <w:p w14:paraId="68F1BFD2" w14:textId="640EA974" w:rsidR="00C9594C" w:rsidRPr="003B0820" w:rsidRDefault="003802CA" w:rsidP="00701B33">
            <w:pPr>
              <w:rPr>
                <w:rFonts w:ascii="Arial" w:hAnsi="Arial" w:cs="Arial"/>
                <w:color w:val="auto"/>
              </w:rPr>
            </w:pPr>
            <w:r w:rsidRPr="003B0820">
              <w:rPr>
                <w:rFonts w:ascii="Arial" w:hAnsi="Arial" w:cs="Arial"/>
                <w:color w:val="auto"/>
              </w:rPr>
              <w:t>The changes made were based on expert advice provided by Mercer Limited.  The Sponsoring Employer was also consulted regarding the changes.</w:t>
            </w:r>
          </w:p>
          <w:p w14:paraId="1D58C8C3" w14:textId="3350E0EA" w:rsidR="00C9594C" w:rsidRPr="003B0820" w:rsidRDefault="00C9594C" w:rsidP="00701B33">
            <w:pPr>
              <w:rPr>
                <w:rFonts w:ascii="Arial" w:hAnsi="Arial" w:cs="Arial"/>
                <w:color w:val="auto"/>
              </w:rPr>
            </w:pPr>
          </w:p>
        </w:tc>
      </w:tr>
      <w:tr w:rsidR="003B0820" w:rsidRPr="003B0820" w14:paraId="00CAD950" w14:textId="77777777" w:rsidTr="004D028C">
        <w:tc>
          <w:tcPr>
            <w:tcW w:w="461" w:type="dxa"/>
          </w:tcPr>
          <w:p w14:paraId="02E38024" w14:textId="77777777" w:rsidR="00C9594C" w:rsidRPr="00977215" w:rsidRDefault="00C9594C" w:rsidP="003D41F8">
            <w:pPr>
              <w:jc w:val="both"/>
              <w:rPr>
                <w:rFonts w:ascii="Arial" w:hAnsi="Arial" w:cs="Arial"/>
                <w:color w:val="auto"/>
              </w:rPr>
            </w:pPr>
            <w:r w:rsidRPr="00977215">
              <w:rPr>
                <w:rFonts w:ascii="Arial" w:hAnsi="Arial" w:cs="Arial"/>
                <w:color w:val="auto"/>
              </w:rPr>
              <w:t>2</w:t>
            </w:r>
          </w:p>
        </w:tc>
        <w:tc>
          <w:tcPr>
            <w:tcW w:w="2520" w:type="dxa"/>
          </w:tcPr>
          <w:p w14:paraId="6CB7A271" w14:textId="77777777" w:rsidR="00C9594C" w:rsidRPr="00977215" w:rsidRDefault="00C9594C" w:rsidP="00701B33">
            <w:pPr>
              <w:rPr>
                <w:rFonts w:ascii="Arial" w:hAnsi="Arial" w:cs="Arial"/>
                <w:color w:val="auto"/>
              </w:rPr>
            </w:pPr>
            <w:r w:rsidRPr="00977215">
              <w:rPr>
                <w:rFonts w:ascii="Arial" w:hAnsi="Arial" w:cs="Arial"/>
                <w:color w:val="auto"/>
              </w:rPr>
              <w:t>Kinds of investments to be held</w:t>
            </w:r>
          </w:p>
        </w:tc>
        <w:tc>
          <w:tcPr>
            <w:tcW w:w="5236" w:type="dxa"/>
          </w:tcPr>
          <w:p w14:paraId="5BDFC030" w14:textId="77777777" w:rsidR="00C9594C" w:rsidRPr="00977215" w:rsidRDefault="00C9594C" w:rsidP="00701B33">
            <w:pPr>
              <w:rPr>
                <w:rFonts w:ascii="Arial" w:hAnsi="Arial" w:cs="Arial"/>
                <w:i/>
                <w:color w:val="auto"/>
              </w:rPr>
            </w:pPr>
            <w:r w:rsidRPr="00977215">
              <w:rPr>
                <w:rFonts w:ascii="Arial" w:hAnsi="Arial" w:cs="Arial"/>
                <w:i/>
                <w:color w:val="auto"/>
              </w:rPr>
              <w:t xml:space="preserve">The Trustee has adopted a control framework in structuring the Scheme’s investments. This includes the role of active and passive management, ‘buy and maintain’ approaches to corporate bond investment, diversification, </w:t>
            </w:r>
            <w:r w:rsidRPr="00977215">
              <w:rPr>
                <w:rFonts w:ascii="Arial" w:hAnsi="Arial" w:cs="Arial"/>
                <w:i/>
                <w:color w:val="auto"/>
              </w:rPr>
              <w:lastRenderedPageBreak/>
              <w:t>appointment of specialist managers and decisions on segregated vs pooled investments.</w:t>
            </w:r>
          </w:p>
        </w:tc>
        <w:tc>
          <w:tcPr>
            <w:tcW w:w="5812" w:type="dxa"/>
          </w:tcPr>
          <w:p w14:paraId="31DCDB03" w14:textId="77777777" w:rsidR="00C9594C" w:rsidRPr="003B0820" w:rsidRDefault="00C9594C" w:rsidP="00701B33">
            <w:pPr>
              <w:suppressLineNumbers/>
              <w:suppressAutoHyphens/>
              <w:spacing w:after="200" w:line="260" w:lineRule="exact"/>
              <w:outlineLvl w:val="1"/>
              <w:rPr>
                <w:rFonts w:ascii="Arial" w:eastAsia="Times New Roman" w:hAnsi="Arial" w:cs="Arial"/>
                <w:color w:val="auto"/>
                <w:lang w:eastAsia="en-GB"/>
              </w:rPr>
            </w:pPr>
            <w:r w:rsidRPr="003B0820">
              <w:rPr>
                <w:rFonts w:ascii="Arial" w:hAnsi="Arial" w:cs="Arial"/>
                <w:color w:val="auto"/>
                <w:lang w:eastAsia="en-GB"/>
              </w:rPr>
              <w:lastRenderedPageBreak/>
              <w:t>The Trustee maintained an overall investment portfolio over the year which reflected its policy for portfolio construction.</w:t>
            </w:r>
          </w:p>
        </w:tc>
      </w:tr>
      <w:tr w:rsidR="003D41F8" w:rsidRPr="006C109D" w14:paraId="1CE1229E" w14:textId="77777777" w:rsidTr="004D028C">
        <w:tc>
          <w:tcPr>
            <w:tcW w:w="461" w:type="dxa"/>
          </w:tcPr>
          <w:p w14:paraId="00FF6FAA" w14:textId="77777777" w:rsidR="00C9594C" w:rsidRPr="00977215" w:rsidRDefault="00C9594C" w:rsidP="003D41F8">
            <w:pPr>
              <w:jc w:val="both"/>
              <w:rPr>
                <w:rFonts w:ascii="Arial" w:hAnsi="Arial" w:cs="Arial"/>
                <w:color w:val="auto"/>
              </w:rPr>
            </w:pPr>
            <w:r w:rsidRPr="00977215">
              <w:rPr>
                <w:rFonts w:ascii="Arial" w:hAnsi="Arial" w:cs="Arial"/>
                <w:color w:val="auto"/>
              </w:rPr>
              <w:t>3</w:t>
            </w:r>
          </w:p>
        </w:tc>
        <w:tc>
          <w:tcPr>
            <w:tcW w:w="2520" w:type="dxa"/>
          </w:tcPr>
          <w:p w14:paraId="626B7691" w14:textId="77777777" w:rsidR="00C9594C" w:rsidRPr="00977215" w:rsidRDefault="00C9594C" w:rsidP="00701B33">
            <w:pPr>
              <w:rPr>
                <w:rFonts w:ascii="Arial" w:hAnsi="Arial" w:cs="Arial"/>
                <w:color w:val="auto"/>
              </w:rPr>
            </w:pPr>
            <w:r w:rsidRPr="00977215">
              <w:rPr>
                <w:rFonts w:ascii="Arial" w:hAnsi="Arial" w:cs="Arial"/>
                <w:color w:val="auto"/>
              </w:rPr>
              <w:t>The balance between different kinds of investments</w:t>
            </w:r>
          </w:p>
        </w:tc>
        <w:tc>
          <w:tcPr>
            <w:tcW w:w="5236" w:type="dxa"/>
          </w:tcPr>
          <w:p w14:paraId="17FDF44C" w14:textId="427DFB51" w:rsidR="00A4748F" w:rsidRDefault="00C9594C" w:rsidP="00A4748F">
            <w:pPr>
              <w:rPr>
                <w:rFonts w:ascii="Arial" w:hAnsi="Arial" w:cs="Arial"/>
                <w:i/>
                <w:color w:val="auto"/>
              </w:rPr>
            </w:pPr>
            <w:r w:rsidRPr="00977215">
              <w:rPr>
                <w:rFonts w:ascii="Arial" w:hAnsi="Arial" w:cs="Arial"/>
                <w:i/>
                <w:color w:val="auto"/>
              </w:rPr>
              <w:t xml:space="preserve">The Trustee has agreed, based on expert advice, an investment strategy </w:t>
            </w:r>
            <w:r w:rsidR="00A4748F">
              <w:rPr>
                <w:rFonts w:ascii="Arial" w:hAnsi="Arial" w:cs="Arial"/>
                <w:i/>
                <w:color w:val="auto"/>
              </w:rPr>
              <w:t xml:space="preserve">as set out in Section 6 of the SIP.  </w:t>
            </w:r>
            <w:r w:rsidRPr="00977215">
              <w:rPr>
                <w:rFonts w:ascii="Arial" w:hAnsi="Arial" w:cs="Arial"/>
                <w:i/>
                <w:color w:val="auto"/>
              </w:rPr>
              <w:t xml:space="preserve">The Scheme’s investment strategy is implemented using a range of specialist investment managers. </w:t>
            </w:r>
            <w:r w:rsidR="00A4748F">
              <w:rPr>
                <w:rFonts w:ascii="Arial" w:hAnsi="Arial" w:cs="Arial"/>
                <w:i/>
                <w:color w:val="auto"/>
              </w:rPr>
              <w:t xml:space="preserve"> </w:t>
            </w:r>
            <w:r w:rsidRPr="00977215">
              <w:rPr>
                <w:rFonts w:ascii="Arial" w:hAnsi="Arial" w:cs="Arial"/>
                <w:i/>
                <w:color w:val="auto"/>
              </w:rPr>
              <w:t xml:space="preserve">As such the Scheme’s asset allocation is not automatically rebalanced. </w:t>
            </w:r>
            <w:r w:rsidR="00A4748F">
              <w:rPr>
                <w:rFonts w:ascii="Arial" w:hAnsi="Arial" w:cs="Arial"/>
                <w:i/>
                <w:color w:val="auto"/>
              </w:rPr>
              <w:t xml:space="preserve"> </w:t>
            </w:r>
            <w:r w:rsidRPr="00977215">
              <w:rPr>
                <w:rFonts w:ascii="Arial" w:hAnsi="Arial" w:cs="Arial"/>
                <w:i/>
                <w:color w:val="auto"/>
              </w:rPr>
              <w:t xml:space="preserve">The Trustee monitors the allocation of the Scheme’s investments relative to strategic targets </w:t>
            </w:r>
            <w:r w:rsidR="00A4748F">
              <w:rPr>
                <w:rFonts w:ascii="Arial" w:hAnsi="Arial" w:cs="Arial"/>
                <w:i/>
                <w:color w:val="auto"/>
              </w:rPr>
              <w:t>and will consider whether to take any action if actual allocations deviate significantly from their targets.</w:t>
            </w:r>
          </w:p>
          <w:p w14:paraId="42EA5145" w14:textId="249042C6" w:rsidR="00C9594C" w:rsidRPr="00977215" w:rsidRDefault="00C9594C" w:rsidP="00A4748F">
            <w:pPr>
              <w:rPr>
                <w:rFonts w:ascii="Arial" w:hAnsi="Arial" w:cs="Arial"/>
                <w:i/>
                <w:color w:val="auto"/>
              </w:rPr>
            </w:pPr>
          </w:p>
        </w:tc>
        <w:tc>
          <w:tcPr>
            <w:tcW w:w="5812" w:type="dxa"/>
          </w:tcPr>
          <w:p w14:paraId="7F55A74E" w14:textId="49B2CFDC" w:rsidR="001D1350" w:rsidRPr="003B0820" w:rsidRDefault="001D1350" w:rsidP="001D1350">
            <w:pPr>
              <w:rPr>
                <w:rFonts w:ascii="Arial" w:hAnsi="Arial" w:cs="Arial"/>
                <w:color w:val="auto"/>
                <w:lang w:eastAsia="en-GB"/>
              </w:rPr>
            </w:pPr>
            <w:r w:rsidRPr="003B0820">
              <w:rPr>
                <w:rFonts w:ascii="Arial" w:hAnsi="Arial" w:cs="Arial"/>
                <w:color w:val="auto"/>
                <w:lang w:eastAsia="en-GB"/>
              </w:rPr>
              <w:t>The Trustee monitors the asset allocation against targets with reference to quarterly investment reports produced by Mercer.</w:t>
            </w:r>
          </w:p>
          <w:p w14:paraId="30421ADF" w14:textId="62F79F2F" w:rsidR="003802CA" w:rsidRPr="003B0820" w:rsidRDefault="003802CA" w:rsidP="00701B33">
            <w:pPr>
              <w:rPr>
                <w:rFonts w:ascii="Arial" w:hAnsi="Arial" w:cs="Arial"/>
                <w:color w:val="auto"/>
                <w:lang w:eastAsia="en-GB"/>
              </w:rPr>
            </w:pPr>
            <w:r w:rsidRPr="003B0820">
              <w:rPr>
                <w:rFonts w:ascii="Arial" w:hAnsi="Arial" w:cs="Arial"/>
                <w:color w:val="auto"/>
                <w:lang w:eastAsia="en-GB"/>
              </w:rPr>
              <w:t>As outlined in Requirement 1 above, the Scheme’s LDI mandate was restructured during the year</w:t>
            </w:r>
            <w:r w:rsidR="00D76518" w:rsidRPr="003B0820">
              <w:rPr>
                <w:rFonts w:ascii="Arial" w:hAnsi="Arial" w:cs="Arial"/>
                <w:color w:val="auto"/>
                <w:lang w:eastAsia="en-GB"/>
              </w:rPr>
              <w:t>, with the target allocation to LDI increasing (and the Multi-Asset Credit target allocation commensurately decreasing)</w:t>
            </w:r>
            <w:r w:rsidRPr="003B0820">
              <w:rPr>
                <w:rFonts w:ascii="Arial" w:hAnsi="Arial" w:cs="Arial"/>
                <w:color w:val="auto"/>
                <w:lang w:eastAsia="en-GB"/>
              </w:rPr>
              <w:t>.</w:t>
            </w:r>
          </w:p>
          <w:p w14:paraId="15DA6C69" w14:textId="19AE612E" w:rsidR="00D63B2A" w:rsidRPr="003B0820" w:rsidRDefault="00D76518" w:rsidP="00E602C8">
            <w:pPr>
              <w:rPr>
                <w:rFonts w:ascii="Arial" w:hAnsi="Arial" w:cs="Arial"/>
                <w:color w:val="auto"/>
                <w:lang w:eastAsia="en-GB"/>
              </w:rPr>
            </w:pPr>
            <w:r w:rsidRPr="003B0820">
              <w:rPr>
                <w:rFonts w:ascii="Arial" w:hAnsi="Arial" w:cs="Arial"/>
                <w:color w:val="auto"/>
                <w:lang w:eastAsia="en-GB"/>
              </w:rPr>
              <w:t xml:space="preserve">In </w:t>
            </w:r>
            <w:r w:rsidR="00D63B2A" w:rsidRPr="003B0820">
              <w:rPr>
                <w:rFonts w:ascii="Arial" w:hAnsi="Arial" w:cs="Arial"/>
                <w:color w:val="auto"/>
                <w:lang w:eastAsia="en-GB"/>
              </w:rPr>
              <w:t>January 202</w:t>
            </w:r>
            <w:r w:rsidRPr="003B0820">
              <w:rPr>
                <w:rFonts w:ascii="Arial" w:hAnsi="Arial" w:cs="Arial"/>
                <w:color w:val="auto"/>
                <w:lang w:eastAsia="en-GB"/>
              </w:rPr>
              <w:t>5,</w:t>
            </w:r>
            <w:r w:rsidR="00D63B2A" w:rsidRPr="003B0820">
              <w:rPr>
                <w:rFonts w:ascii="Arial" w:hAnsi="Arial" w:cs="Arial"/>
                <w:color w:val="auto"/>
                <w:lang w:eastAsia="en-GB"/>
              </w:rPr>
              <w:t xml:space="preserve"> £</w:t>
            </w:r>
            <w:r w:rsidR="001D1350" w:rsidRPr="003B0820">
              <w:rPr>
                <w:rFonts w:ascii="Arial" w:hAnsi="Arial" w:cs="Arial"/>
                <w:color w:val="auto"/>
                <w:lang w:eastAsia="en-GB"/>
              </w:rPr>
              <w:t>7</w:t>
            </w:r>
            <w:r w:rsidR="00D63B2A" w:rsidRPr="003B0820">
              <w:rPr>
                <w:rFonts w:ascii="Arial" w:hAnsi="Arial" w:cs="Arial"/>
                <w:color w:val="auto"/>
                <w:lang w:eastAsia="en-GB"/>
              </w:rPr>
              <w:t xml:space="preserve">m was disinvested from the Apollo MAC mandate </w:t>
            </w:r>
            <w:r w:rsidRPr="003B0820">
              <w:rPr>
                <w:rFonts w:ascii="Arial" w:hAnsi="Arial" w:cs="Arial"/>
                <w:color w:val="auto"/>
                <w:lang w:eastAsia="en-GB"/>
              </w:rPr>
              <w:t>as part of strategic de-risking, with the remaining c.£6.</w:t>
            </w:r>
            <w:r w:rsidR="001D1350" w:rsidRPr="003B0820">
              <w:rPr>
                <w:rFonts w:ascii="Arial" w:hAnsi="Arial" w:cs="Arial"/>
                <w:color w:val="auto"/>
                <w:lang w:eastAsia="en-GB"/>
              </w:rPr>
              <w:t>5</w:t>
            </w:r>
            <w:r w:rsidRPr="003B0820">
              <w:rPr>
                <w:rFonts w:ascii="Arial" w:hAnsi="Arial" w:cs="Arial"/>
                <w:color w:val="auto"/>
                <w:lang w:eastAsia="en-GB"/>
              </w:rPr>
              <w:t>m disinvested in April 2025</w:t>
            </w:r>
            <w:r w:rsidR="00D63B2A" w:rsidRPr="003B0820">
              <w:rPr>
                <w:rFonts w:ascii="Arial" w:hAnsi="Arial" w:cs="Arial"/>
                <w:color w:val="auto"/>
                <w:lang w:eastAsia="en-GB"/>
              </w:rPr>
              <w:t xml:space="preserve">.  </w:t>
            </w:r>
            <w:r w:rsidR="001D1350" w:rsidRPr="003B0820">
              <w:rPr>
                <w:rFonts w:ascii="Arial" w:hAnsi="Arial" w:cs="Arial"/>
                <w:color w:val="auto"/>
                <w:lang w:eastAsia="en-GB"/>
              </w:rPr>
              <w:t xml:space="preserve">The proceeds (net of short-term cashflow requirements) were reinvested </w:t>
            </w:r>
            <w:r w:rsidR="00D63B2A" w:rsidRPr="003B0820">
              <w:rPr>
                <w:rFonts w:ascii="Arial" w:hAnsi="Arial" w:cs="Arial"/>
                <w:color w:val="auto"/>
                <w:lang w:eastAsia="en-GB"/>
              </w:rPr>
              <w:t>in the Insight LDI portfolio</w:t>
            </w:r>
            <w:r w:rsidR="001D1350" w:rsidRPr="003B0820">
              <w:rPr>
                <w:rFonts w:ascii="Arial" w:hAnsi="Arial" w:cs="Arial"/>
                <w:color w:val="auto"/>
                <w:lang w:eastAsia="en-GB"/>
              </w:rPr>
              <w:t>.</w:t>
            </w:r>
          </w:p>
          <w:p w14:paraId="13B1A355" w14:textId="159E0063" w:rsidR="00C9594C" w:rsidRPr="003B0820" w:rsidRDefault="00D63B2A" w:rsidP="00D63B2A">
            <w:pPr>
              <w:rPr>
                <w:rFonts w:ascii="Arial" w:hAnsi="Arial" w:cs="Arial"/>
                <w:color w:val="auto"/>
                <w:lang w:eastAsia="en-GB"/>
              </w:rPr>
            </w:pPr>
            <w:r w:rsidRPr="003B0820">
              <w:rPr>
                <w:rFonts w:ascii="Arial" w:hAnsi="Arial" w:cs="Arial"/>
                <w:color w:val="auto"/>
                <w:lang w:eastAsia="en-GB"/>
              </w:rPr>
              <w:t xml:space="preserve">In </w:t>
            </w:r>
            <w:r w:rsidR="001D1350" w:rsidRPr="003B0820">
              <w:rPr>
                <w:rFonts w:ascii="Arial" w:hAnsi="Arial" w:cs="Arial"/>
                <w:color w:val="auto"/>
                <w:lang w:eastAsia="en-GB"/>
              </w:rPr>
              <w:t xml:space="preserve">addition, in </w:t>
            </w:r>
            <w:r w:rsidRPr="003B0820">
              <w:rPr>
                <w:rFonts w:ascii="Arial" w:hAnsi="Arial" w:cs="Arial"/>
                <w:color w:val="auto"/>
                <w:lang w:eastAsia="en-GB"/>
              </w:rPr>
              <w:t>March 202</w:t>
            </w:r>
            <w:r w:rsidR="00D76518" w:rsidRPr="003B0820">
              <w:rPr>
                <w:rFonts w:ascii="Arial" w:hAnsi="Arial" w:cs="Arial"/>
                <w:color w:val="auto"/>
                <w:lang w:eastAsia="en-GB"/>
              </w:rPr>
              <w:t>5</w:t>
            </w:r>
            <w:r w:rsidRPr="003B0820">
              <w:rPr>
                <w:rFonts w:ascii="Arial" w:hAnsi="Arial" w:cs="Arial"/>
                <w:color w:val="auto"/>
                <w:lang w:eastAsia="en-GB"/>
              </w:rPr>
              <w:t xml:space="preserve"> a deficit contribution of £8.0m was paid into the Trustee Bank Account.  £</w:t>
            </w:r>
            <w:r w:rsidR="00D76518" w:rsidRPr="003B0820">
              <w:rPr>
                <w:rFonts w:ascii="Arial" w:hAnsi="Arial" w:cs="Arial"/>
                <w:color w:val="auto"/>
                <w:lang w:eastAsia="en-GB"/>
              </w:rPr>
              <w:t>1</w:t>
            </w:r>
            <w:r w:rsidRPr="003B0820">
              <w:rPr>
                <w:rFonts w:ascii="Arial" w:hAnsi="Arial" w:cs="Arial"/>
                <w:color w:val="auto"/>
                <w:lang w:eastAsia="en-GB"/>
              </w:rPr>
              <w:t>.0m was retained in the Trustee Bank Account to meet ongoing cashflow requirements.  The remaining £</w:t>
            </w:r>
            <w:r w:rsidR="00D76518" w:rsidRPr="003B0820">
              <w:rPr>
                <w:rFonts w:ascii="Arial" w:hAnsi="Arial" w:cs="Arial"/>
                <w:color w:val="auto"/>
                <w:lang w:eastAsia="en-GB"/>
              </w:rPr>
              <w:t>7</w:t>
            </w:r>
            <w:r w:rsidRPr="003B0820">
              <w:rPr>
                <w:rFonts w:ascii="Arial" w:hAnsi="Arial" w:cs="Arial"/>
                <w:color w:val="auto"/>
                <w:lang w:eastAsia="en-GB"/>
              </w:rPr>
              <w:t xml:space="preserve">.0m was invested in the Insight LDI portfolio </w:t>
            </w:r>
            <w:r w:rsidR="00D76518" w:rsidRPr="003B0820">
              <w:rPr>
                <w:rFonts w:ascii="Arial" w:hAnsi="Arial" w:cs="Arial"/>
                <w:color w:val="auto"/>
                <w:lang w:eastAsia="en-GB"/>
              </w:rPr>
              <w:t>in early April 2025</w:t>
            </w:r>
            <w:r w:rsidR="001D1350" w:rsidRPr="003B0820">
              <w:rPr>
                <w:rFonts w:ascii="Arial" w:hAnsi="Arial" w:cs="Arial"/>
                <w:color w:val="auto"/>
                <w:lang w:eastAsia="en-GB"/>
              </w:rPr>
              <w:t>.</w:t>
            </w:r>
          </w:p>
          <w:p w14:paraId="5C17ECB7" w14:textId="0B3DFF8C" w:rsidR="001D1350" w:rsidRPr="003B0820" w:rsidRDefault="001D1350" w:rsidP="00D63B2A">
            <w:pPr>
              <w:rPr>
                <w:rFonts w:ascii="Arial" w:hAnsi="Arial" w:cs="Arial"/>
                <w:color w:val="auto"/>
              </w:rPr>
            </w:pPr>
          </w:p>
        </w:tc>
      </w:tr>
      <w:tr w:rsidR="003D41F8" w:rsidRPr="006C109D" w14:paraId="66B2165A" w14:textId="77777777" w:rsidTr="004D028C">
        <w:tc>
          <w:tcPr>
            <w:tcW w:w="461" w:type="dxa"/>
          </w:tcPr>
          <w:p w14:paraId="03F9BDBA" w14:textId="77777777" w:rsidR="00C9594C" w:rsidRPr="00977215" w:rsidRDefault="00C9594C" w:rsidP="003D41F8">
            <w:pPr>
              <w:jc w:val="both"/>
              <w:rPr>
                <w:rFonts w:ascii="Arial" w:hAnsi="Arial" w:cs="Arial"/>
                <w:color w:val="auto"/>
              </w:rPr>
            </w:pPr>
            <w:r w:rsidRPr="00977215">
              <w:rPr>
                <w:rFonts w:ascii="Arial" w:hAnsi="Arial" w:cs="Arial"/>
                <w:color w:val="auto"/>
              </w:rPr>
              <w:t>4</w:t>
            </w:r>
          </w:p>
        </w:tc>
        <w:tc>
          <w:tcPr>
            <w:tcW w:w="2520" w:type="dxa"/>
          </w:tcPr>
          <w:p w14:paraId="1EF03023" w14:textId="77777777" w:rsidR="00C9594C" w:rsidRPr="00977215" w:rsidRDefault="00C9594C" w:rsidP="00701B33">
            <w:pPr>
              <w:rPr>
                <w:rFonts w:ascii="Arial" w:hAnsi="Arial" w:cs="Arial"/>
                <w:color w:val="auto"/>
              </w:rPr>
            </w:pPr>
            <w:r w:rsidRPr="00977215">
              <w:rPr>
                <w:rFonts w:ascii="Arial" w:hAnsi="Arial" w:cs="Arial"/>
                <w:color w:val="auto"/>
              </w:rPr>
              <w:t>Risks, including the ways in which risks are to be measured and managed</w:t>
            </w:r>
          </w:p>
        </w:tc>
        <w:tc>
          <w:tcPr>
            <w:tcW w:w="5236" w:type="dxa"/>
          </w:tcPr>
          <w:p w14:paraId="7F735E97" w14:textId="1F159891" w:rsidR="00C9594C" w:rsidRPr="00977215" w:rsidRDefault="00C9594C" w:rsidP="00701B33">
            <w:pPr>
              <w:rPr>
                <w:rFonts w:ascii="Arial" w:hAnsi="Arial" w:cs="Arial"/>
                <w:i/>
                <w:color w:val="auto"/>
              </w:rPr>
            </w:pPr>
            <w:r w:rsidRPr="00977215">
              <w:rPr>
                <w:rFonts w:ascii="Arial" w:hAnsi="Arial" w:cs="Arial"/>
                <w:i/>
                <w:color w:val="auto"/>
              </w:rPr>
              <w:t>There are various risks to which any pension scheme is exposed, which the Trustee believes may be financially material to the Scheme.</w:t>
            </w:r>
          </w:p>
          <w:p w14:paraId="0800C9AF" w14:textId="77777777" w:rsidR="00C9594C" w:rsidRPr="00977215" w:rsidRDefault="00C9594C" w:rsidP="00701B33">
            <w:pPr>
              <w:rPr>
                <w:rFonts w:ascii="Arial" w:hAnsi="Arial" w:cs="Arial"/>
                <w:i/>
                <w:color w:val="auto"/>
              </w:rPr>
            </w:pPr>
            <w:r w:rsidRPr="00977215">
              <w:rPr>
                <w:rFonts w:ascii="Arial" w:hAnsi="Arial" w:cs="Arial"/>
                <w:i/>
                <w:color w:val="auto"/>
              </w:rPr>
              <w:t xml:space="preserve">The primary risk upon which the Trustee focuses is that arising through a mismatch between the Scheme’s assets and its liabilities. Key strategic investment risks that impact on Scheme funding </w:t>
            </w:r>
            <w:r w:rsidRPr="00977215">
              <w:rPr>
                <w:rFonts w:ascii="Arial" w:hAnsi="Arial" w:cs="Arial"/>
                <w:i/>
                <w:color w:val="auto"/>
              </w:rPr>
              <w:lastRenderedPageBreak/>
              <w:t>are equity market risk, interest rate and inflation risk, credit risk, currency risk and liquidity risk. Further detail on how these risks are managed is set out in the SIP.</w:t>
            </w:r>
          </w:p>
          <w:p w14:paraId="2145F7BF" w14:textId="77777777" w:rsidR="00C9594C" w:rsidRPr="00977215" w:rsidRDefault="00C9594C" w:rsidP="00701B33">
            <w:pPr>
              <w:rPr>
                <w:rFonts w:ascii="Arial" w:hAnsi="Arial" w:cs="Arial"/>
                <w:i/>
                <w:color w:val="auto"/>
              </w:rPr>
            </w:pPr>
            <w:r w:rsidRPr="00977215">
              <w:rPr>
                <w:rFonts w:ascii="Arial" w:hAnsi="Arial" w:cs="Arial"/>
                <w:i/>
                <w:color w:val="auto"/>
              </w:rPr>
              <w:t>The Trustee recognises that whilst increasing risk increases potential returns over the longer term, it also increases the risk of a shortfall in returns relative to that required to cover the Scheme’s liabilities as well as producing more short-term volatility in the Scheme’s funding position. The Trustee has established an investment policy designed to reduce this risk, without damaging the Scheme’s long term return prospects using asset-liability modelling conducted by its professional advisors to measure the contribution of different risk factors to overall Value at Risk (“</w:t>
            </w:r>
            <w:proofErr w:type="spellStart"/>
            <w:r w:rsidRPr="00977215">
              <w:rPr>
                <w:rFonts w:ascii="Arial" w:hAnsi="Arial" w:cs="Arial"/>
                <w:i/>
                <w:color w:val="auto"/>
              </w:rPr>
              <w:t>VaR</w:t>
            </w:r>
            <w:proofErr w:type="spellEnd"/>
            <w:r w:rsidRPr="00977215">
              <w:rPr>
                <w:rFonts w:ascii="Arial" w:hAnsi="Arial" w:cs="Arial"/>
                <w:i/>
                <w:color w:val="auto"/>
              </w:rPr>
              <w:t>”).</w:t>
            </w:r>
          </w:p>
        </w:tc>
        <w:tc>
          <w:tcPr>
            <w:tcW w:w="5812" w:type="dxa"/>
          </w:tcPr>
          <w:p w14:paraId="4CF20FAA" w14:textId="77777777" w:rsidR="00880D6E" w:rsidRDefault="00C9594C" w:rsidP="00880D6E">
            <w:pPr>
              <w:rPr>
                <w:rFonts w:ascii="Arial" w:hAnsi="Arial" w:cs="Arial"/>
                <w:color w:val="auto"/>
              </w:rPr>
            </w:pPr>
            <w:r w:rsidRPr="003B0820">
              <w:rPr>
                <w:rFonts w:ascii="Arial" w:hAnsi="Arial" w:cs="Arial"/>
                <w:color w:val="auto"/>
              </w:rPr>
              <w:lastRenderedPageBreak/>
              <w:t>The Trustee has continued to follow the policies set out in the SIP with respect to risk measurement and management.</w:t>
            </w:r>
          </w:p>
          <w:p w14:paraId="3903ED44" w14:textId="63BFB791" w:rsidR="00C9594C" w:rsidRPr="003B0820" w:rsidRDefault="00C9594C" w:rsidP="00880D6E">
            <w:pPr>
              <w:rPr>
                <w:rFonts w:ascii="Arial" w:hAnsi="Arial" w:cs="Arial"/>
                <w:color w:val="auto"/>
              </w:rPr>
            </w:pPr>
            <w:r w:rsidRPr="003B0820">
              <w:rPr>
                <w:rFonts w:ascii="Arial" w:hAnsi="Arial" w:cs="Arial"/>
                <w:color w:val="auto"/>
              </w:rPr>
              <w:t xml:space="preserve">The Trustee </w:t>
            </w:r>
            <w:r w:rsidR="00D63B2A" w:rsidRPr="003B0820">
              <w:rPr>
                <w:rFonts w:ascii="Arial" w:hAnsi="Arial" w:cs="Arial"/>
                <w:color w:val="auto"/>
              </w:rPr>
              <w:t xml:space="preserve">also </w:t>
            </w:r>
            <w:r w:rsidRPr="003B0820">
              <w:rPr>
                <w:rFonts w:ascii="Arial" w:hAnsi="Arial" w:cs="Arial"/>
                <w:color w:val="auto"/>
              </w:rPr>
              <w:t xml:space="preserve">receives updated reporting on </w:t>
            </w:r>
            <w:r w:rsidR="00D63B2A" w:rsidRPr="003B0820">
              <w:rPr>
                <w:rFonts w:ascii="Arial" w:hAnsi="Arial" w:cs="Arial"/>
                <w:color w:val="auto"/>
              </w:rPr>
              <w:t>the Scheme’s funding position and liability hedging analysis</w:t>
            </w:r>
            <w:r w:rsidRPr="003B0820">
              <w:rPr>
                <w:rFonts w:ascii="Arial" w:hAnsi="Arial" w:cs="Arial"/>
                <w:color w:val="auto"/>
              </w:rPr>
              <w:t xml:space="preserve"> as part of quarterly monitoring.</w:t>
            </w:r>
          </w:p>
        </w:tc>
      </w:tr>
      <w:tr w:rsidR="003D41F8" w:rsidRPr="006C109D" w14:paraId="6F8CF127" w14:textId="77777777" w:rsidTr="004D028C">
        <w:tc>
          <w:tcPr>
            <w:tcW w:w="461" w:type="dxa"/>
          </w:tcPr>
          <w:p w14:paraId="591073EE" w14:textId="77777777" w:rsidR="00C9594C" w:rsidRPr="00977215" w:rsidRDefault="00C9594C" w:rsidP="003D41F8">
            <w:pPr>
              <w:jc w:val="both"/>
              <w:rPr>
                <w:rFonts w:ascii="Arial" w:hAnsi="Arial" w:cs="Arial"/>
                <w:color w:val="auto"/>
              </w:rPr>
            </w:pPr>
            <w:r w:rsidRPr="00977215">
              <w:rPr>
                <w:rFonts w:ascii="Arial" w:hAnsi="Arial" w:cs="Arial"/>
                <w:color w:val="auto"/>
              </w:rPr>
              <w:t>5</w:t>
            </w:r>
          </w:p>
        </w:tc>
        <w:tc>
          <w:tcPr>
            <w:tcW w:w="2520" w:type="dxa"/>
          </w:tcPr>
          <w:p w14:paraId="673C4740" w14:textId="77777777" w:rsidR="00C9594C" w:rsidRPr="00977215" w:rsidRDefault="00C9594C" w:rsidP="00701B33">
            <w:pPr>
              <w:rPr>
                <w:rFonts w:ascii="Arial" w:hAnsi="Arial" w:cs="Arial"/>
                <w:color w:val="auto"/>
              </w:rPr>
            </w:pPr>
            <w:r w:rsidRPr="00977215">
              <w:rPr>
                <w:rFonts w:ascii="Arial" w:hAnsi="Arial" w:cs="Arial"/>
                <w:color w:val="auto"/>
              </w:rPr>
              <w:t>Expected return on investments</w:t>
            </w:r>
          </w:p>
        </w:tc>
        <w:tc>
          <w:tcPr>
            <w:tcW w:w="5236" w:type="dxa"/>
          </w:tcPr>
          <w:p w14:paraId="0E8661A2" w14:textId="77777777" w:rsidR="00C9594C" w:rsidRPr="00977215" w:rsidRDefault="00C9594C" w:rsidP="00701B33">
            <w:pPr>
              <w:rPr>
                <w:rFonts w:ascii="Arial" w:hAnsi="Arial" w:cs="Arial"/>
                <w:i/>
                <w:color w:val="auto"/>
              </w:rPr>
            </w:pPr>
            <w:r w:rsidRPr="00977215">
              <w:rPr>
                <w:rFonts w:ascii="Arial" w:hAnsi="Arial" w:cs="Arial"/>
                <w:i/>
                <w:color w:val="auto"/>
              </w:rPr>
              <w:t xml:space="preserve">The Trustee expects to generate a return, over the long term, at least in line with that of the actuarial assumptions under which the Scheme’s funding has been agreed. It is recognised that over the </w:t>
            </w:r>
            <w:proofErr w:type="gramStart"/>
            <w:r w:rsidRPr="00977215">
              <w:rPr>
                <w:rFonts w:ascii="Arial" w:hAnsi="Arial" w:cs="Arial"/>
                <w:i/>
                <w:color w:val="auto"/>
              </w:rPr>
              <w:t>short term</w:t>
            </w:r>
            <w:proofErr w:type="gramEnd"/>
            <w:r w:rsidRPr="00977215">
              <w:rPr>
                <w:rFonts w:ascii="Arial" w:hAnsi="Arial" w:cs="Arial"/>
                <w:i/>
                <w:color w:val="auto"/>
              </w:rPr>
              <w:t xml:space="preserve"> performance may deviate significantly from the </w:t>
            </w:r>
            <w:proofErr w:type="gramStart"/>
            <w:r w:rsidRPr="00977215">
              <w:rPr>
                <w:rFonts w:ascii="Arial" w:hAnsi="Arial" w:cs="Arial"/>
                <w:i/>
                <w:color w:val="auto"/>
              </w:rPr>
              <w:t>long term</w:t>
            </w:r>
            <w:proofErr w:type="gramEnd"/>
            <w:r w:rsidRPr="00977215">
              <w:rPr>
                <w:rFonts w:ascii="Arial" w:hAnsi="Arial" w:cs="Arial"/>
                <w:i/>
                <w:color w:val="auto"/>
              </w:rPr>
              <w:t xml:space="preserve"> target.</w:t>
            </w:r>
          </w:p>
        </w:tc>
        <w:tc>
          <w:tcPr>
            <w:tcW w:w="5812" w:type="dxa"/>
          </w:tcPr>
          <w:p w14:paraId="545C2F3C" w14:textId="34710B1F" w:rsidR="00C9594C" w:rsidRPr="006B6980" w:rsidRDefault="001E3B6C">
            <w:pPr>
              <w:rPr>
                <w:rFonts w:ascii="Arial" w:hAnsi="Arial" w:cs="Arial"/>
                <w:strike/>
                <w:color w:val="auto"/>
              </w:rPr>
            </w:pPr>
            <w:r w:rsidRPr="006B6980">
              <w:rPr>
                <w:rFonts w:ascii="Arial" w:hAnsi="Arial" w:cs="Arial"/>
                <w:color w:val="auto"/>
              </w:rPr>
              <w:t xml:space="preserve">The current investment strategy </w:t>
            </w:r>
            <w:r w:rsidR="0078023A">
              <w:rPr>
                <w:rFonts w:ascii="Arial" w:hAnsi="Arial" w:cs="Arial"/>
                <w:color w:val="auto"/>
              </w:rPr>
              <w:t xml:space="preserve">has been designed to be consistent </w:t>
            </w:r>
            <w:r w:rsidRPr="006B6980">
              <w:rPr>
                <w:rFonts w:ascii="Arial" w:hAnsi="Arial" w:cs="Arial"/>
                <w:color w:val="auto"/>
              </w:rPr>
              <w:t>with the statement outlined opposite.</w:t>
            </w:r>
          </w:p>
        </w:tc>
      </w:tr>
      <w:tr w:rsidR="003D41F8" w:rsidRPr="006C109D" w14:paraId="0FAEF1A7" w14:textId="77777777" w:rsidTr="004D028C">
        <w:tc>
          <w:tcPr>
            <w:tcW w:w="461" w:type="dxa"/>
          </w:tcPr>
          <w:p w14:paraId="0D0C55A4" w14:textId="77777777" w:rsidR="00C9594C" w:rsidRPr="00977215" w:rsidRDefault="00C9594C" w:rsidP="003D41F8">
            <w:pPr>
              <w:jc w:val="both"/>
              <w:rPr>
                <w:rFonts w:ascii="Arial" w:hAnsi="Arial" w:cs="Arial"/>
                <w:color w:val="auto"/>
              </w:rPr>
            </w:pPr>
            <w:r w:rsidRPr="00977215">
              <w:rPr>
                <w:rFonts w:ascii="Arial" w:hAnsi="Arial" w:cs="Arial"/>
                <w:color w:val="auto"/>
              </w:rPr>
              <w:t>6</w:t>
            </w:r>
          </w:p>
        </w:tc>
        <w:tc>
          <w:tcPr>
            <w:tcW w:w="2520" w:type="dxa"/>
          </w:tcPr>
          <w:p w14:paraId="2D3E1A6B" w14:textId="641F054D" w:rsidR="00C9594C" w:rsidRPr="00977215" w:rsidRDefault="00F945AE">
            <w:pPr>
              <w:rPr>
                <w:rFonts w:ascii="Arial" w:hAnsi="Arial" w:cs="Arial"/>
                <w:color w:val="auto"/>
              </w:rPr>
            </w:pPr>
            <w:r>
              <w:rPr>
                <w:rFonts w:ascii="Arial" w:hAnsi="Arial" w:cs="Arial"/>
                <w:color w:val="auto"/>
              </w:rPr>
              <w:t>Selection, retention and r</w:t>
            </w:r>
            <w:r w:rsidR="00C9594C" w:rsidRPr="00977215">
              <w:rPr>
                <w:rFonts w:ascii="Arial" w:hAnsi="Arial" w:cs="Arial"/>
                <w:color w:val="auto"/>
              </w:rPr>
              <w:t>ealisation of investments</w:t>
            </w:r>
          </w:p>
        </w:tc>
        <w:tc>
          <w:tcPr>
            <w:tcW w:w="5236" w:type="dxa"/>
          </w:tcPr>
          <w:p w14:paraId="42884A4C" w14:textId="151B40A7" w:rsidR="00C9594C" w:rsidRPr="00977215" w:rsidRDefault="00C9594C" w:rsidP="00701B33">
            <w:pPr>
              <w:rPr>
                <w:rFonts w:ascii="Arial" w:hAnsi="Arial" w:cs="Arial"/>
                <w:i/>
                <w:color w:val="auto"/>
              </w:rPr>
            </w:pPr>
            <w:r w:rsidRPr="00977215">
              <w:rPr>
                <w:rFonts w:ascii="Arial" w:hAnsi="Arial" w:cs="Arial"/>
                <w:i/>
                <w:color w:val="auto"/>
              </w:rPr>
              <w:t xml:space="preserve">The selection, retention and realisation of assets is carried out in a way consistent with maintaining the Scheme’s overall strategic allocation and consistent with the overall principles set out in </w:t>
            </w:r>
            <w:r w:rsidR="00F945AE">
              <w:rPr>
                <w:rFonts w:ascii="Arial" w:hAnsi="Arial" w:cs="Arial"/>
                <w:i/>
                <w:color w:val="auto"/>
              </w:rPr>
              <w:t>the SIP</w:t>
            </w:r>
            <w:r w:rsidRPr="00977215">
              <w:rPr>
                <w:rFonts w:ascii="Arial" w:hAnsi="Arial" w:cs="Arial"/>
                <w:i/>
                <w:color w:val="auto"/>
              </w:rPr>
              <w:t>.</w:t>
            </w:r>
          </w:p>
          <w:p w14:paraId="01970DC5" w14:textId="77777777" w:rsidR="00C9594C" w:rsidRPr="00977215" w:rsidRDefault="00C9594C" w:rsidP="00701B33">
            <w:pPr>
              <w:rPr>
                <w:rFonts w:ascii="Arial" w:hAnsi="Arial" w:cs="Arial"/>
                <w:i/>
                <w:color w:val="auto"/>
              </w:rPr>
            </w:pPr>
            <w:r w:rsidRPr="00977215">
              <w:rPr>
                <w:rFonts w:ascii="Arial" w:hAnsi="Arial" w:cs="Arial"/>
                <w:i/>
                <w:color w:val="auto"/>
              </w:rPr>
              <w:t xml:space="preserve">The Scheme’s investment managers have discretion in the timing of realisation of investments and in considerations relating to the liquidity of </w:t>
            </w:r>
            <w:r w:rsidRPr="00977215">
              <w:rPr>
                <w:rFonts w:ascii="Arial" w:hAnsi="Arial" w:cs="Arial"/>
                <w:i/>
                <w:color w:val="auto"/>
              </w:rPr>
              <w:lastRenderedPageBreak/>
              <w:t>those investments within parameters stipulated in the relevant appointment documentation and pooled fund prospectuses.</w:t>
            </w:r>
          </w:p>
          <w:p w14:paraId="1AF7EEF9" w14:textId="4EACC471" w:rsidR="00C9594C" w:rsidRPr="00977215" w:rsidRDefault="00C9594C" w:rsidP="00701B33">
            <w:pPr>
              <w:rPr>
                <w:rFonts w:ascii="Arial" w:hAnsi="Arial" w:cs="Arial"/>
                <w:i/>
                <w:color w:val="auto"/>
              </w:rPr>
            </w:pPr>
            <w:r w:rsidRPr="00977215">
              <w:rPr>
                <w:rFonts w:ascii="Arial" w:hAnsi="Arial" w:cs="Arial"/>
                <w:i/>
                <w:color w:val="auto"/>
              </w:rPr>
              <w:t>The Trustee decides (with the advice from their investment managers and/or investment consultants) on how investments should be realised for cash to meet Scheme expenses.</w:t>
            </w:r>
          </w:p>
        </w:tc>
        <w:tc>
          <w:tcPr>
            <w:tcW w:w="5812" w:type="dxa"/>
          </w:tcPr>
          <w:p w14:paraId="76FD8C16" w14:textId="4B57FA9E" w:rsidR="001E3B6C" w:rsidRPr="003B0820" w:rsidRDefault="001E3B6C" w:rsidP="00701B33">
            <w:pPr>
              <w:rPr>
                <w:rFonts w:ascii="Arial" w:hAnsi="Arial" w:cs="Arial"/>
                <w:color w:val="auto"/>
              </w:rPr>
            </w:pPr>
            <w:r w:rsidRPr="003B0820">
              <w:rPr>
                <w:rFonts w:ascii="Arial" w:hAnsi="Arial" w:cs="Arial"/>
                <w:color w:val="auto"/>
              </w:rPr>
              <w:lastRenderedPageBreak/>
              <w:t xml:space="preserve">The </w:t>
            </w:r>
            <w:r w:rsidR="00D76518" w:rsidRPr="003B0820">
              <w:rPr>
                <w:rFonts w:ascii="Arial" w:hAnsi="Arial" w:cs="Arial"/>
                <w:color w:val="auto"/>
              </w:rPr>
              <w:t xml:space="preserve">disinvestment from the Apollo MAC </w:t>
            </w:r>
            <w:r w:rsidR="00802874" w:rsidRPr="003B0820">
              <w:rPr>
                <w:rFonts w:ascii="Arial" w:hAnsi="Arial" w:cs="Arial"/>
                <w:color w:val="auto"/>
              </w:rPr>
              <w:t>f</w:t>
            </w:r>
            <w:r w:rsidR="00D76518" w:rsidRPr="003B0820">
              <w:rPr>
                <w:rFonts w:ascii="Arial" w:hAnsi="Arial" w:cs="Arial"/>
                <w:color w:val="auto"/>
              </w:rPr>
              <w:t xml:space="preserve">und and subsequent increase in strategic allocation </w:t>
            </w:r>
            <w:r w:rsidR="00DF6294">
              <w:rPr>
                <w:rFonts w:ascii="Arial" w:hAnsi="Arial" w:cs="Arial"/>
                <w:color w:val="auto"/>
              </w:rPr>
              <w:t xml:space="preserve">to </w:t>
            </w:r>
            <w:r w:rsidR="00D76518" w:rsidRPr="003B0820">
              <w:rPr>
                <w:rFonts w:ascii="Arial" w:hAnsi="Arial" w:cs="Arial"/>
                <w:color w:val="auto"/>
              </w:rPr>
              <w:t>the Insight LDI Portfolio</w:t>
            </w:r>
            <w:r w:rsidRPr="003B0820">
              <w:rPr>
                <w:rFonts w:ascii="Arial" w:hAnsi="Arial" w:cs="Arial"/>
                <w:color w:val="auto"/>
              </w:rPr>
              <w:t xml:space="preserve"> was carried out in line with the overall principles set out in the SIP and consistent with maintaining the Scheme’s agreed investment strategy.</w:t>
            </w:r>
          </w:p>
          <w:p w14:paraId="0781C6F4" w14:textId="0314988D" w:rsidR="00BC36A8" w:rsidRPr="003B0820" w:rsidRDefault="00C9594C" w:rsidP="00701B33">
            <w:pPr>
              <w:rPr>
                <w:rFonts w:ascii="Arial" w:hAnsi="Arial" w:cs="Arial"/>
                <w:color w:val="auto"/>
              </w:rPr>
            </w:pPr>
            <w:r w:rsidRPr="003B0820">
              <w:rPr>
                <w:rFonts w:ascii="Arial" w:hAnsi="Arial" w:cs="Arial"/>
                <w:color w:val="auto"/>
              </w:rPr>
              <w:lastRenderedPageBreak/>
              <w:t>Over the year, the Scheme maintain</w:t>
            </w:r>
            <w:r w:rsidR="008206D0" w:rsidRPr="003B0820">
              <w:rPr>
                <w:rFonts w:ascii="Arial" w:hAnsi="Arial" w:cs="Arial"/>
                <w:color w:val="auto"/>
              </w:rPr>
              <w:t>ed a</w:t>
            </w:r>
            <w:r w:rsidRPr="003B0820">
              <w:rPr>
                <w:rFonts w:ascii="Arial" w:hAnsi="Arial" w:cs="Arial"/>
                <w:color w:val="auto"/>
              </w:rPr>
              <w:t xml:space="preserve"> pooled cash fund holding with</w:t>
            </w:r>
            <w:r w:rsidR="008206D0" w:rsidRPr="003B0820">
              <w:rPr>
                <w:rFonts w:ascii="Arial" w:hAnsi="Arial" w:cs="Arial"/>
                <w:color w:val="auto"/>
              </w:rPr>
              <w:t xml:space="preserve"> M</w:t>
            </w:r>
            <w:r w:rsidRPr="003B0820">
              <w:rPr>
                <w:rFonts w:ascii="Arial" w:hAnsi="Arial" w:cs="Arial"/>
                <w:color w:val="auto"/>
              </w:rPr>
              <w:t>ercer</w:t>
            </w:r>
            <w:r w:rsidR="008206D0" w:rsidRPr="003B0820">
              <w:rPr>
                <w:rFonts w:ascii="Arial" w:hAnsi="Arial" w:cs="Arial"/>
                <w:color w:val="auto"/>
              </w:rPr>
              <w:t xml:space="preserve">, </w:t>
            </w:r>
            <w:r w:rsidR="006B6980" w:rsidRPr="003B0820">
              <w:rPr>
                <w:rFonts w:ascii="Arial" w:hAnsi="Arial" w:cs="Arial"/>
                <w:color w:val="auto"/>
              </w:rPr>
              <w:t>to provide</w:t>
            </w:r>
            <w:r w:rsidRPr="003B0820">
              <w:rPr>
                <w:rFonts w:ascii="Arial" w:hAnsi="Arial" w:cs="Arial"/>
                <w:color w:val="auto"/>
              </w:rPr>
              <w:t xml:space="preserve"> a source of capital to fund private debt commitments as these f</w:t>
            </w:r>
            <w:r w:rsidR="006B6980" w:rsidRPr="003B0820">
              <w:rPr>
                <w:rFonts w:ascii="Arial" w:hAnsi="Arial" w:cs="Arial"/>
                <w:color w:val="auto"/>
              </w:rPr>
              <w:t>a</w:t>
            </w:r>
            <w:r w:rsidRPr="003B0820">
              <w:rPr>
                <w:rFonts w:ascii="Arial" w:hAnsi="Arial" w:cs="Arial"/>
                <w:color w:val="auto"/>
              </w:rPr>
              <w:t>ll due.</w:t>
            </w:r>
          </w:p>
          <w:p w14:paraId="12670CA3" w14:textId="77777777" w:rsidR="00C9594C" w:rsidRPr="003B0820" w:rsidRDefault="00C9594C" w:rsidP="00701B33">
            <w:pPr>
              <w:rPr>
                <w:rFonts w:ascii="Arial" w:hAnsi="Arial" w:cs="Arial"/>
                <w:color w:val="auto"/>
              </w:rPr>
            </w:pPr>
            <w:r w:rsidRPr="003B0820">
              <w:rPr>
                <w:rFonts w:ascii="Arial" w:hAnsi="Arial" w:cs="Arial"/>
                <w:color w:val="auto"/>
              </w:rPr>
              <w:t xml:space="preserve">The Trustee received advice from the investment consultant in relation to the realisation of investments when required during the year. </w:t>
            </w:r>
          </w:p>
          <w:p w14:paraId="1C89FB1A" w14:textId="09364C21" w:rsidR="00977215" w:rsidRPr="003B0820" w:rsidRDefault="00977215" w:rsidP="00977215">
            <w:pPr>
              <w:rPr>
                <w:rFonts w:ascii="Arial" w:hAnsi="Arial" w:cs="Arial"/>
                <w:color w:val="auto"/>
              </w:rPr>
            </w:pPr>
            <w:r w:rsidRPr="003B0820">
              <w:rPr>
                <w:rFonts w:ascii="Arial" w:hAnsi="Arial" w:cs="Arial"/>
                <w:color w:val="auto"/>
              </w:rPr>
              <w:t>The Scheme has a liquidity waterfall type arrangement with Insight, who will automatically fund a LDI collateral call in the following order of priority:</w:t>
            </w:r>
          </w:p>
          <w:p w14:paraId="7472DC39" w14:textId="77777777" w:rsidR="00977215" w:rsidRPr="003B0820" w:rsidRDefault="00977215" w:rsidP="00977215">
            <w:pPr>
              <w:pStyle w:val="ListParagraph"/>
              <w:numPr>
                <w:ilvl w:val="0"/>
                <w:numId w:val="28"/>
              </w:numPr>
              <w:rPr>
                <w:rFonts w:ascii="Arial" w:hAnsi="Arial" w:cs="Arial"/>
                <w:color w:val="auto"/>
              </w:rPr>
            </w:pPr>
            <w:r w:rsidRPr="003B0820">
              <w:rPr>
                <w:rFonts w:ascii="Arial" w:hAnsi="Arial" w:cs="Arial"/>
                <w:color w:val="auto"/>
              </w:rPr>
              <w:t>Cash held in the liquidity fund</w:t>
            </w:r>
          </w:p>
          <w:p w14:paraId="7577775B" w14:textId="77777777" w:rsidR="00977215" w:rsidRPr="003B0820" w:rsidRDefault="00977215" w:rsidP="00977215">
            <w:pPr>
              <w:pStyle w:val="ListParagraph"/>
              <w:numPr>
                <w:ilvl w:val="0"/>
                <w:numId w:val="28"/>
              </w:numPr>
              <w:rPr>
                <w:rFonts w:ascii="Arial" w:hAnsi="Arial" w:cs="Arial"/>
                <w:color w:val="auto"/>
              </w:rPr>
            </w:pPr>
            <w:r w:rsidRPr="003B0820">
              <w:rPr>
                <w:rFonts w:ascii="Arial" w:hAnsi="Arial" w:cs="Arial"/>
                <w:color w:val="auto"/>
              </w:rPr>
              <w:t>Fully funded gilts</w:t>
            </w:r>
          </w:p>
          <w:p w14:paraId="032AD99F" w14:textId="77777777" w:rsidR="00977215" w:rsidRPr="003B0820" w:rsidRDefault="00977215" w:rsidP="00977215">
            <w:pPr>
              <w:pStyle w:val="ListParagraph"/>
              <w:numPr>
                <w:ilvl w:val="0"/>
                <w:numId w:val="28"/>
              </w:numPr>
              <w:rPr>
                <w:rFonts w:ascii="Arial" w:hAnsi="Arial" w:cs="Arial"/>
                <w:color w:val="auto"/>
              </w:rPr>
            </w:pPr>
            <w:r w:rsidRPr="003B0820">
              <w:rPr>
                <w:rFonts w:ascii="Arial" w:hAnsi="Arial" w:cs="Arial"/>
                <w:color w:val="auto"/>
              </w:rPr>
              <w:t>Short dated buy and maintain credit fund</w:t>
            </w:r>
          </w:p>
          <w:p w14:paraId="3421CC7F" w14:textId="1DEB4A1B" w:rsidR="00977215" w:rsidRPr="003B0820" w:rsidRDefault="00977215" w:rsidP="00977215">
            <w:pPr>
              <w:rPr>
                <w:rFonts w:ascii="Arial" w:hAnsi="Arial" w:cs="Arial"/>
                <w:color w:val="auto"/>
              </w:rPr>
            </w:pPr>
            <w:r w:rsidRPr="003B0820">
              <w:rPr>
                <w:rFonts w:ascii="Arial" w:hAnsi="Arial" w:cs="Arial"/>
                <w:color w:val="auto"/>
              </w:rPr>
              <w:t>If these measures are exhausted, Mercer will provide expert advice for funding, taking into account the current Scheme position.</w:t>
            </w:r>
          </w:p>
        </w:tc>
      </w:tr>
      <w:tr w:rsidR="003D41F8" w:rsidRPr="006C109D" w14:paraId="7FCEE65C" w14:textId="77777777" w:rsidTr="004D028C">
        <w:tc>
          <w:tcPr>
            <w:tcW w:w="461" w:type="dxa"/>
          </w:tcPr>
          <w:p w14:paraId="457956C4" w14:textId="77777777" w:rsidR="00C9594C" w:rsidRPr="00977215" w:rsidRDefault="00C9594C" w:rsidP="003D41F8">
            <w:pPr>
              <w:jc w:val="both"/>
              <w:rPr>
                <w:rFonts w:ascii="Arial" w:hAnsi="Arial" w:cs="Arial"/>
                <w:color w:val="auto"/>
              </w:rPr>
            </w:pPr>
            <w:r w:rsidRPr="00977215">
              <w:rPr>
                <w:rFonts w:ascii="Arial" w:hAnsi="Arial" w:cs="Arial"/>
                <w:color w:val="auto"/>
              </w:rPr>
              <w:lastRenderedPageBreak/>
              <w:t>7</w:t>
            </w:r>
          </w:p>
        </w:tc>
        <w:tc>
          <w:tcPr>
            <w:tcW w:w="2520" w:type="dxa"/>
          </w:tcPr>
          <w:p w14:paraId="5B027D26" w14:textId="77777777" w:rsidR="00C9594C" w:rsidRPr="00977215" w:rsidRDefault="00C9594C" w:rsidP="00701B33">
            <w:pPr>
              <w:rPr>
                <w:rFonts w:ascii="Arial" w:hAnsi="Arial" w:cs="Arial"/>
                <w:color w:val="auto"/>
              </w:rPr>
            </w:pPr>
            <w:r w:rsidRPr="00977215">
              <w:rPr>
                <w:rFonts w:ascii="Arial" w:hAnsi="Arial" w:cs="Arial"/>
                <w:color w:val="auto"/>
              </w:rPr>
              <w:t xml:space="preserve">Financially material considerations over the appropriate time horizon of the investments, including how those considerations are </w:t>
            </w:r>
            <w:proofErr w:type="gramStart"/>
            <w:r w:rsidRPr="00977215">
              <w:rPr>
                <w:rFonts w:ascii="Arial" w:hAnsi="Arial" w:cs="Arial"/>
                <w:color w:val="auto"/>
              </w:rPr>
              <w:t>taken into account</w:t>
            </w:r>
            <w:proofErr w:type="gramEnd"/>
            <w:r w:rsidRPr="00977215">
              <w:rPr>
                <w:rFonts w:ascii="Arial" w:hAnsi="Arial" w:cs="Arial"/>
                <w:color w:val="auto"/>
              </w:rPr>
              <w:t xml:space="preserve"> in the selection, retention and realisation of investments</w:t>
            </w:r>
          </w:p>
          <w:p w14:paraId="0987F82B" w14:textId="77777777" w:rsidR="00C9594C" w:rsidRPr="00977215" w:rsidRDefault="00C9594C" w:rsidP="00701B33">
            <w:pPr>
              <w:rPr>
                <w:rFonts w:ascii="Arial" w:hAnsi="Arial" w:cs="Arial"/>
                <w:color w:val="auto"/>
              </w:rPr>
            </w:pPr>
          </w:p>
        </w:tc>
        <w:tc>
          <w:tcPr>
            <w:tcW w:w="5236" w:type="dxa"/>
          </w:tcPr>
          <w:p w14:paraId="40484989" w14:textId="77777777" w:rsidR="00C9594C" w:rsidRPr="00977215" w:rsidRDefault="00C9594C" w:rsidP="00701B33">
            <w:pPr>
              <w:rPr>
                <w:rFonts w:ascii="Arial" w:hAnsi="Arial" w:cs="Arial"/>
                <w:i/>
                <w:color w:val="auto"/>
              </w:rPr>
            </w:pPr>
            <w:r w:rsidRPr="00977215">
              <w:rPr>
                <w:rFonts w:ascii="Arial" w:hAnsi="Arial" w:cs="Arial"/>
                <w:i/>
                <w:color w:val="auto"/>
              </w:rPr>
              <w:t>The Trustee believes that financially material factors, including environmental, social, and corporate governance (ESG) factors, may have a material impact on investment risk and return outcomes, and that good stewardship can create and preserve value for companies and markets as a whole. The Trustee also recognises that long-term sustainability issues, particularly climate change, present risks and opportunities that may apply over the Scheme’s investment time horizon and increasingly may require explicit consideration.</w:t>
            </w:r>
          </w:p>
          <w:p w14:paraId="3039E449" w14:textId="77777777" w:rsidR="00C9594C" w:rsidRPr="00977215" w:rsidRDefault="00C9594C" w:rsidP="00701B33">
            <w:pPr>
              <w:rPr>
                <w:rFonts w:ascii="Arial" w:hAnsi="Arial" w:cs="Arial"/>
                <w:i/>
                <w:color w:val="auto"/>
              </w:rPr>
            </w:pPr>
            <w:r w:rsidRPr="00977215">
              <w:rPr>
                <w:rFonts w:ascii="Arial" w:hAnsi="Arial" w:cs="Arial"/>
                <w:i/>
                <w:color w:val="auto"/>
              </w:rPr>
              <w:t xml:space="preserve">The strategic benchmark has been determined using appropriate economic and financial </w:t>
            </w:r>
            <w:r w:rsidRPr="00977215">
              <w:rPr>
                <w:rFonts w:ascii="Arial" w:hAnsi="Arial" w:cs="Arial"/>
                <w:i/>
                <w:color w:val="auto"/>
              </w:rPr>
              <w:lastRenderedPageBreak/>
              <w:t>assumptions from which expected risk/return profiles for different asset classes have been derived. These assumptions apply at a broad market level and are considered to implicitly reflect all financially material factors.</w:t>
            </w:r>
          </w:p>
        </w:tc>
        <w:tc>
          <w:tcPr>
            <w:tcW w:w="5812" w:type="dxa"/>
          </w:tcPr>
          <w:p w14:paraId="1C47DE25" w14:textId="6E765BEE" w:rsidR="00E8047D" w:rsidRPr="003B0820" w:rsidRDefault="00F945AE" w:rsidP="00701B33">
            <w:pPr>
              <w:rPr>
                <w:rFonts w:ascii="Arial" w:hAnsi="Arial" w:cs="Arial"/>
                <w:color w:val="auto"/>
              </w:rPr>
            </w:pPr>
            <w:r w:rsidRPr="003B0820">
              <w:rPr>
                <w:rFonts w:ascii="Arial" w:hAnsi="Arial" w:cs="Arial"/>
                <w:color w:val="auto"/>
              </w:rPr>
              <w:lastRenderedPageBreak/>
              <w:t>The Scheme’s liquidity profile was a key financially material consideration when the Trustee decided to restructure the matching portfolio</w:t>
            </w:r>
            <w:r w:rsidR="001E3B6C" w:rsidRPr="003B0820">
              <w:rPr>
                <w:rFonts w:ascii="Arial" w:hAnsi="Arial" w:cs="Arial"/>
                <w:color w:val="auto"/>
              </w:rPr>
              <w:t xml:space="preserve">.  The restructured LDI portfolio and introduction of </w:t>
            </w:r>
            <w:proofErr w:type="gramStart"/>
            <w:r w:rsidR="001E3B6C" w:rsidRPr="003B0820">
              <w:rPr>
                <w:rFonts w:ascii="Arial" w:hAnsi="Arial" w:cs="Arial"/>
                <w:color w:val="auto"/>
              </w:rPr>
              <w:t>short dated</w:t>
            </w:r>
            <w:proofErr w:type="gramEnd"/>
            <w:r w:rsidR="001E3B6C" w:rsidRPr="003B0820">
              <w:rPr>
                <w:rFonts w:ascii="Arial" w:hAnsi="Arial" w:cs="Arial"/>
                <w:color w:val="auto"/>
              </w:rPr>
              <w:t xml:space="preserve"> buy &amp; maintain credit </w:t>
            </w:r>
            <w:r w:rsidRPr="003B0820">
              <w:rPr>
                <w:rFonts w:ascii="Arial" w:hAnsi="Arial" w:cs="Arial"/>
                <w:color w:val="auto"/>
              </w:rPr>
              <w:t>provide</w:t>
            </w:r>
            <w:r w:rsidR="001E3B6C" w:rsidRPr="003B0820">
              <w:rPr>
                <w:rFonts w:ascii="Arial" w:hAnsi="Arial" w:cs="Arial"/>
                <w:color w:val="auto"/>
              </w:rPr>
              <w:t>d</w:t>
            </w:r>
            <w:r w:rsidRPr="003B0820">
              <w:rPr>
                <w:rFonts w:ascii="Arial" w:hAnsi="Arial" w:cs="Arial"/>
                <w:color w:val="auto"/>
              </w:rPr>
              <w:t xml:space="preserve"> additional capital support to the Scheme’s LDI mandate.</w:t>
            </w:r>
          </w:p>
          <w:p w14:paraId="37F7A45B" w14:textId="47BDD1B9" w:rsidR="00C9594C" w:rsidRPr="003B0820" w:rsidRDefault="00C9594C" w:rsidP="00701B33">
            <w:pPr>
              <w:rPr>
                <w:rFonts w:ascii="Arial" w:hAnsi="Arial" w:cs="Arial"/>
                <w:color w:val="auto"/>
              </w:rPr>
            </w:pPr>
            <w:r w:rsidRPr="003B0820">
              <w:rPr>
                <w:rFonts w:ascii="Arial" w:hAnsi="Arial" w:cs="Arial"/>
                <w:color w:val="auto"/>
              </w:rPr>
              <w:t xml:space="preserve">The investment performance report is reviewed by the Trustee on a quarterly basis </w:t>
            </w:r>
            <w:r w:rsidR="00E701F2" w:rsidRPr="003B0820">
              <w:rPr>
                <w:rFonts w:ascii="Arial" w:hAnsi="Arial" w:cs="Arial"/>
                <w:color w:val="auto"/>
              </w:rPr>
              <w:t>-</w:t>
            </w:r>
            <w:r w:rsidRPr="003B0820">
              <w:rPr>
                <w:rFonts w:ascii="Arial" w:hAnsi="Arial" w:cs="Arial"/>
                <w:color w:val="auto"/>
              </w:rPr>
              <w:t xml:space="preserve"> this includes ratings (both general and specific ESG) from the investment </w:t>
            </w:r>
            <w:r w:rsidR="00E701F2" w:rsidRPr="003B0820">
              <w:rPr>
                <w:rFonts w:ascii="Arial" w:hAnsi="Arial" w:cs="Arial"/>
                <w:color w:val="auto"/>
              </w:rPr>
              <w:t>consultant</w:t>
            </w:r>
            <w:r w:rsidRPr="003B0820">
              <w:rPr>
                <w:rFonts w:ascii="Arial" w:hAnsi="Arial" w:cs="Arial"/>
                <w:color w:val="auto"/>
              </w:rPr>
              <w:t>. The general ratings for all managers continued to be high during the year and ESG ratings were in line with or above the peer group medians.</w:t>
            </w:r>
          </w:p>
          <w:p w14:paraId="3268F6C0" w14:textId="77777777" w:rsidR="00C9594C" w:rsidRPr="003B0820" w:rsidRDefault="00C9594C" w:rsidP="00701B33">
            <w:pPr>
              <w:rPr>
                <w:rFonts w:ascii="Arial" w:hAnsi="Arial" w:cs="Arial"/>
                <w:color w:val="auto"/>
              </w:rPr>
            </w:pPr>
            <w:r w:rsidRPr="003B0820">
              <w:rPr>
                <w:rFonts w:ascii="Arial" w:hAnsi="Arial" w:cs="Arial"/>
                <w:color w:val="auto"/>
              </w:rPr>
              <w:lastRenderedPageBreak/>
              <w:t>The Trustee has received training on ESG factors and is aware that ESG factors can influence investment performance over both the short term and long term.</w:t>
            </w:r>
          </w:p>
        </w:tc>
      </w:tr>
      <w:tr w:rsidR="003D41F8" w:rsidRPr="006C109D" w14:paraId="3A0498CD" w14:textId="77777777" w:rsidTr="004D028C">
        <w:tc>
          <w:tcPr>
            <w:tcW w:w="461" w:type="dxa"/>
          </w:tcPr>
          <w:p w14:paraId="3F68439E" w14:textId="77777777" w:rsidR="00C9594C" w:rsidRPr="00977215" w:rsidRDefault="00C9594C" w:rsidP="003D41F8">
            <w:pPr>
              <w:jc w:val="both"/>
              <w:rPr>
                <w:rFonts w:ascii="Arial" w:hAnsi="Arial" w:cs="Arial"/>
                <w:color w:val="auto"/>
              </w:rPr>
            </w:pPr>
            <w:r w:rsidRPr="00977215">
              <w:rPr>
                <w:rFonts w:ascii="Arial" w:hAnsi="Arial" w:cs="Arial"/>
                <w:color w:val="auto"/>
              </w:rPr>
              <w:lastRenderedPageBreak/>
              <w:t>8</w:t>
            </w:r>
          </w:p>
        </w:tc>
        <w:tc>
          <w:tcPr>
            <w:tcW w:w="2520" w:type="dxa"/>
          </w:tcPr>
          <w:p w14:paraId="1DF6E954" w14:textId="77777777" w:rsidR="00C9594C" w:rsidRPr="00977215" w:rsidRDefault="00C9594C" w:rsidP="00701B33">
            <w:pPr>
              <w:rPr>
                <w:rFonts w:ascii="Arial" w:hAnsi="Arial" w:cs="Arial"/>
                <w:color w:val="auto"/>
              </w:rPr>
            </w:pPr>
            <w:r w:rsidRPr="00977215">
              <w:rPr>
                <w:rFonts w:ascii="Arial" w:hAnsi="Arial" w:cs="Arial"/>
                <w:color w:val="auto"/>
              </w:rPr>
              <w:t>The extent (if at all) to which non-financial matters are taken into account in the selection, retention and realisation of investments</w:t>
            </w:r>
          </w:p>
        </w:tc>
        <w:tc>
          <w:tcPr>
            <w:tcW w:w="5236" w:type="dxa"/>
          </w:tcPr>
          <w:p w14:paraId="246208B2" w14:textId="7D42C8F5" w:rsidR="00C9594C" w:rsidRPr="00977215" w:rsidRDefault="00C9594C">
            <w:pPr>
              <w:rPr>
                <w:rFonts w:ascii="Arial" w:hAnsi="Arial" w:cs="Arial"/>
                <w:i/>
                <w:color w:val="auto"/>
              </w:rPr>
            </w:pPr>
            <w:r w:rsidRPr="00977215">
              <w:rPr>
                <w:rFonts w:ascii="Arial" w:hAnsi="Arial" w:cs="Arial"/>
                <w:i/>
                <w:color w:val="auto"/>
              </w:rPr>
              <w:t xml:space="preserve">“Non-financial matters” (where non-financial matters includes members’ ethical views separate from financial considerations such as financially material ESG issues) are not explicitly </w:t>
            </w:r>
            <w:proofErr w:type="gramStart"/>
            <w:r w:rsidRPr="00977215">
              <w:rPr>
                <w:rFonts w:ascii="Arial" w:hAnsi="Arial" w:cs="Arial"/>
                <w:i/>
                <w:color w:val="auto"/>
              </w:rPr>
              <w:t>taken into account</w:t>
            </w:r>
            <w:proofErr w:type="gramEnd"/>
            <w:r w:rsidRPr="00977215">
              <w:rPr>
                <w:rFonts w:ascii="Arial" w:hAnsi="Arial" w:cs="Arial"/>
                <w:i/>
                <w:color w:val="auto"/>
              </w:rPr>
              <w:t xml:space="preserve"> in the selection, retention and realisation of investments. The Trustee would review this policy in response to significant member demand.</w:t>
            </w:r>
          </w:p>
        </w:tc>
        <w:tc>
          <w:tcPr>
            <w:tcW w:w="5812" w:type="dxa"/>
          </w:tcPr>
          <w:p w14:paraId="5FF44B96" w14:textId="77777777" w:rsidR="00C9594C" w:rsidRPr="006B6980" w:rsidRDefault="00C9594C" w:rsidP="00701B33">
            <w:pPr>
              <w:rPr>
                <w:rFonts w:ascii="Arial" w:hAnsi="Arial" w:cs="Arial"/>
                <w:color w:val="auto"/>
              </w:rPr>
            </w:pPr>
            <w:r w:rsidRPr="006B6980">
              <w:rPr>
                <w:rFonts w:ascii="Arial" w:hAnsi="Arial" w:cs="Arial"/>
                <w:color w:val="auto"/>
              </w:rPr>
              <w:t>This policy was adhered to by the Trustee during the year when considering changes to the Scheme’s investment mandates.</w:t>
            </w:r>
          </w:p>
        </w:tc>
      </w:tr>
      <w:tr w:rsidR="003D41F8" w:rsidRPr="006C109D" w14:paraId="59C0330A" w14:textId="77777777" w:rsidTr="004D028C">
        <w:tc>
          <w:tcPr>
            <w:tcW w:w="461" w:type="dxa"/>
          </w:tcPr>
          <w:p w14:paraId="5D66CC1C" w14:textId="77777777" w:rsidR="00C9594C" w:rsidRPr="00977215" w:rsidRDefault="00C9594C" w:rsidP="003D41F8">
            <w:pPr>
              <w:jc w:val="both"/>
              <w:rPr>
                <w:rFonts w:ascii="Arial" w:hAnsi="Arial" w:cs="Arial"/>
                <w:color w:val="auto"/>
              </w:rPr>
            </w:pPr>
            <w:r w:rsidRPr="00977215">
              <w:rPr>
                <w:rFonts w:ascii="Arial" w:hAnsi="Arial" w:cs="Arial"/>
                <w:color w:val="auto"/>
              </w:rPr>
              <w:t>9</w:t>
            </w:r>
          </w:p>
        </w:tc>
        <w:tc>
          <w:tcPr>
            <w:tcW w:w="2520" w:type="dxa"/>
          </w:tcPr>
          <w:p w14:paraId="4BB12DA1" w14:textId="77777777" w:rsidR="00C9594C" w:rsidRPr="00977215" w:rsidRDefault="00C9594C" w:rsidP="00701B33">
            <w:pPr>
              <w:rPr>
                <w:rFonts w:ascii="Arial" w:hAnsi="Arial" w:cs="Arial"/>
                <w:color w:val="auto"/>
              </w:rPr>
            </w:pPr>
            <w:r w:rsidRPr="00977215">
              <w:rPr>
                <w:rFonts w:ascii="Arial" w:hAnsi="Arial" w:cs="Arial"/>
                <w:color w:val="auto"/>
              </w:rPr>
              <w:t>The exercise of the rights (including voting rights) attaching to the investments</w:t>
            </w:r>
          </w:p>
          <w:p w14:paraId="6730630F" w14:textId="77777777" w:rsidR="00C9594C" w:rsidRPr="00977215" w:rsidRDefault="00C9594C" w:rsidP="00701B33">
            <w:pPr>
              <w:rPr>
                <w:rFonts w:ascii="Arial" w:hAnsi="Arial" w:cs="Arial"/>
                <w:color w:val="auto"/>
              </w:rPr>
            </w:pPr>
            <w:r w:rsidRPr="00977215">
              <w:rPr>
                <w:rFonts w:ascii="Arial" w:hAnsi="Arial" w:cs="Arial"/>
                <w:color w:val="auto"/>
              </w:rPr>
              <w:t>And</w:t>
            </w:r>
          </w:p>
          <w:p w14:paraId="46553407" w14:textId="77777777" w:rsidR="00C9594C" w:rsidRPr="00977215" w:rsidRDefault="00C9594C" w:rsidP="00701B33">
            <w:pPr>
              <w:rPr>
                <w:rFonts w:ascii="Arial" w:hAnsi="Arial" w:cs="Arial"/>
                <w:color w:val="auto"/>
              </w:rPr>
            </w:pPr>
            <w:r w:rsidRPr="00977215">
              <w:rPr>
                <w:rFonts w:ascii="Arial" w:hAnsi="Arial" w:cs="Arial"/>
                <w:color w:val="auto"/>
              </w:rPr>
              <w:t>Undertaking engagement activities in respect of the investments (including the methods by which, and the circumstances under which, trustees would monitor and engage with relevant persons about relevant matters)</w:t>
            </w:r>
          </w:p>
        </w:tc>
        <w:tc>
          <w:tcPr>
            <w:tcW w:w="5236" w:type="dxa"/>
          </w:tcPr>
          <w:p w14:paraId="4DB9DADE" w14:textId="77777777" w:rsidR="00C9594C" w:rsidRPr="00977215" w:rsidRDefault="00C9594C" w:rsidP="00701B33">
            <w:pPr>
              <w:rPr>
                <w:rFonts w:ascii="Arial" w:hAnsi="Arial" w:cs="Arial"/>
                <w:i/>
                <w:color w:val="auto"/>
              </w:rPr>
            </w:pPr>
            <w:r w:rsidRPr="00977215">
              <w:rPr>
                <w:rFonts w:ascii="Arial" w:hAnsi="Arial" w:cs="Arial"/>
                <w:i/>
                <w:color w:val="auto"/>
              </w:rPr>
              <w:t xml:space="preserve">The Scheme’s assets are invested in pooled vehicles and the day-to-day management of the assets has been delegated to Investment Manager(s), including the selection, retention and realisation of investments within their mandates. In doing so these investment managers are expected and encouraged to undertake engagement activities on relevant matters including ESG factors (including climate change considerations) and to exercise voting rights and stewardship obligations attached to the investments, in accordance with their own corporate governance policies and current best practice, including the UK Corporate Governance Code and UK Stewardship Code. The Trustee engages with existing investment managers on these issues through (amongst other things) regular meetings and periodic correspondence. Managers who are FCA registered are expected to report on their adherence to the UK Stewardship Code on an </w:t>
            </w:r>
            <w:r w:rsidRPr="00977215">
              <w:rPr>
                <w:rFonts w:ascii="Arial" w:hAnsi="Arial" w:cs="Arial"/>
                <w:i/>
                <w:color w:val="auto"/>
              </w:rPr>
              <w:lastRenderedPageBreak/>
              <w:t>annual basis. This applies to both equity and debt investments, as appropriate, and covers a range of matters including the issuers’ performance, strategy, capital structure, management of actual or potential conflicts of interest, risks, social and environmental impact and corporate governance.</w:t>
            </w:r>
          </w:p>
          <w:p w14:paraId="6E0E46D2" w14:textId="77777777" w:rsidR="00C9594C" w:rsidRPr="00977215" w:rsidRDefault="00C9594C" w:rsidP="00701B33">
            <w:pPr>
              <w:rPr>
                <w:rFonts w:ascii="Arial" w:hAnsi="Arial" w:cs="Arial"/>
                <w:i/>
                <w:color w:val="auto"/>
              </w:rPr>
            </w:pPr>
            <w:r w:rsidRPr="00977215">
              <w:rPr>
                <w:rFonts w:ascii="Arial" w:hAnsi="Arial" w:cs="Arial"/>
                <w:i/>
                <w:color w:val="auto"/>
              </w:rPr>
              <w:t>The Trustee will not consider the ESG policies of Additional Voluntary Contributions providers and associated investment funds as these are a small proportion of total assets.</w:t>
            </w:r>
          </w:p>
        </w:tc>
        <w:tc>
          <w:tcPr>
            <w:tcW w:w="5812" w:type="dxa"/>
          </w:tcPr>
          <w:p w14:paraId="34BFCDC4" w14:textId="2E84FDEC" w:rsidR="00C9594C" w:rsidRPr="003B0820" w:rsidRDefault="00C9594C" w:rsidP="00701B33">
            <w:pPr>
              <w:rPr>
                <w:rFonts w:ascii="Arial" w:hAnsi="Arial" w:cs="Arial"/>
                <w:color w:val="auto"/>
              </w:rPr>
            </w:pPr>
            <w:r w:rsidRPr="003B0820">
              <w:rPr>
                <w:rFonts w:ascii="Arial" w:hAnsi="Arial" w:cs="Arial"/>
                <w:color w:val="auto"/>
              </w:rPr>
              <w:lastRenderedPageBreak/>
              <w:t xml:space="preserve">The Trustee has delegated </w:t>
            </w:r>
            <w:r w:rsidR="00E8047D" w:rsidRPr="003B0820">
              <w:rPr>
                <w:rFonts w:ascii="Arial" w:hAnsi="Arial" w:cs="Arial"/>
                <w:color w:val="auto"/>
              </w:rPr>
              <w:t xml:space="preserve">any </w:t>
            </w:r>
            <w:r w:rsidRPr="003B0820">
              <w:rPr>
                <w:rFonts w:ascii="Arial" w:hAnsi="Arial" w:cs="Arial"/>
                <w:color w:val="auto"/>
              </w:rPr>
              <w:t>voting rights to the investment managers.</w:t>
            </w:r>
          </w:p>
          <w:p w14:paraId="3D45AC33" w14:textId="1FDA404B" w:rsidR="00C9594C" w:rsidRPr="003B0820" w:rsidRDefault="00E8047D" w:rsidP="00701B33">
            <w:pPr>
              <w:rPr>
                <w:rFonts w:ascii="Arial" w:hAnsi="Arial" w:cs="Arial"/>
                <w:color w:val="auto"/>
              </w:rPr>
            </w:pPr>
            <w:r w:rsidRPr="003B0820">
              <w:rPr>
                <w:rFonts w:ascii="Arial" w:hAnsi="Arial" w:cs="Arial"/>
                <w:color w:val="auto"/>
              </w:rPr>
              <w:t>To the extent that any voting rights exist for the Scheme’s investment mandates, the i</w:t>
            </w:r>
            <w:r w:rsidR="00C9594C" w:rsidRPr="003B0820">
              <w:rPr>
                <w:rFonts w:ascii="Arial" w:hAnsi="Arial" w:cs="Arial"/>
                <w:color w:val="auto"/>
              </w:rPr>
              <w:t xml:space="preserve">nvestment managers are expected to provide voting summary reporting on a regular basis, at least annually.  The reports </w:t>
            </w:r>
            <w:r w:rsidRPr="003B0820">
              <w:rPr>
                <w:rFonts w:ascii="Arial" w:hAnsi="Arial" w:cs="Arial"/>
                <w:color w:val="auto"/>
              </w:rPr>
              <w:t xml:space="preserve">will be </w:t>
            </w:r>
            <w:r w:rsidR="00C9594C" w:rsidRPr="003B0820">
              <w:rPr>
                <w:rFonts w:ascii="Arial" w:hAnsi="Arial" w:cs="Arial"/>
                <w:color w:val="auto"/>
              </w:rPr>
              <w:t>reviewed by the Trustee to ensure that they align with the Trustee’s policy.</w:t>
            </w:r>
          </w:p>
          <w:p w14:paraId="5DCA0405" w14:textId="482D05CE" w:rsidR="00EF5370" w:rsidRPr="003B0820" w:rsidRDefault="00EF5370" w:rsidP="00701B33">
            <w:pPr>
              <w:rPr>
                <w:rFonts w:ascii="Arial" w:hAnsi="Arial" w:cs="Arial"/>
                <w:color w:val="auto"/>
              </w:rPr>
            </w:pPr>
            <w:r w:rsidRPr="003B0820">
              <w:rPr>
                <w:rFonts w:ascii="Arial" w:hAnsi="Arial" w:cs="Arial"/>
                <w:color w:val="auto"/>
              </w:rPr>
              <w:t>However, during the Scheme year the Scheme held no investments in funds with voting rights</w:t>
            </w:r>
            <w:r w:rsidR="00E8047D" w:rsidRPr="003B0820">
              <w:rPr>
                <w:rFonts w:ascii="Arial" w:hAnsi="Arial" w:cs="Arial"/>
                <w:color w:val="auto"/>
              </w:rPr>
              <w:t>.</w:t>
            </w:r>
          </w:p>
          <w:p w14:paraId="28865F3C" w14:textId="168359CA" w:rsidR="00E8047D" w:rsidRPr="003B0820" w:rsidRDefault="00E8047D" w:rsidP="00701B33">
            <w:pPr>
              <w:rPr>
                <w:rFonts w:ascii="Arial" w:hAnsi="Arial" w:cs="Arial"/>
                <w:color w:val="auto"/>
              </w:rPr>
            </w:pPr>
            <w:r w:rsidRPr="003B0820">
              <w:rPr>
                <w:rFonts w:ascii="Arial" w:hAnsi="Arial" w:cs="Arial"/>
                <w:color w:val="auto"/>
              </w:rPr>
              <w:t>The engagement activity of the Scheme’s investment managers is outlined in the next section of this Implementation Statement.</w:t>
            </w:r>
          </w:p>
          <w:p w14:paraId="34EBEBC2" w14:textId="6BEF126E" w:rsidR="00C9594C" w:rsidRPr="003B0820" w:rsidRDefault="00C9594C" w:rsidP="00382ABC">
            <w:pPr>
              <w:rPr>
                <w:rFonts w:ascii="Arial" w:hAnsi="Arial" w:cs="Arial"/>
                <w:strike/>
                <w:color w:val="auto"/>
              </w:rPr>
            </w:pPr>
          </w:p>
        </w:tc>
      </w:tr>
      <w:tr w:rsidR="003D41F8" w:rsidRPr="006C109D" w14:paraId="0DC76932" w14:textId="77777777" w:rsidTr="004D028C">
        <w:tc>
          <w:tcPr>
            <w:tcW w:w="461" w:type="dxa"/>
          </w:tcPr>
          <w:p w14:paraId="3D72DE00" w14:textId="77777777" w:rsidR="00C9594C" w:rsidRPr="00977215" w:rsidRDefault="00C9594C" w:rsidP="003D41F8">
            <w:pPr>
              <w:jc w:val="both"/>
              <w:rPr>
                <w:rFonts w:ascii="Arial" w:hAnsi="Arial" w:cs="Arial"/>
                <w:color w:val="auto"/>
              </w:rPr>
            </w:pPr>
            <w:r w:rsidRPr="00977215">
              <w:rPr>
                <w:rFonts w:ascii="Arial" w:hAnsi="Arial" w:cs="Arial"/>
                <w:color w:val="auto"/>
              </w:rPr>
              <w:t>10</w:t>
            </w:r>
          </w:p>
        </w:tc>
        <w:tc>
          <w:tcPr>
            <w:tcW w:w="2520" w:type="dxa"/>
          </w:tcPr>
          <w:p w14:paraId="7ABB77E5" w14:textId="440C4CE2" w:rsidR="00C9594C" w:rsidRPr="00977215" w:rsidRDefault="00C9594C" w:rsidP="00701B33">
            <w:pPr>
              <w:rPr>
                <w:rFonts w:ascii="Arial" w:hAnsi="Arial" w:cs="Arial"/>
                <w:color w:val="auto"/>
              </w:rPr>
            </w:pPr>
            <w:r w:rsidRPr="00977215">
              <w:rPr>
                <w:rFonts w:ascii="Arial" w:hAnsi="Arial" w:cs="Arial"/>
                <w:color w:val="auto"/>
              </w:rPr>
              <w:t xml:space="preserve">How the arrangement with the asset manager incentivises the asset manager to align its investment strategy and decisions with the </w:t>
            </w:r>
            <w:proofErr w:type="gramStart"/>
            <w:r w:rsidRPr="00977215">
              <w:rPr>
                <w:rFonts w:ascii="Arial" w:hAnsi="Arial" w:cs="Arial"/>
                <w:color w:val="auto"/>
              </w:rPr>
              <w:t>trustees</w:t>
            </w:r>
            <w:proofErr w:type="gramEnd"/>
            <w:r w:rsidRPr="00977215">
              <w:rPr>
                <w:rFonts w:ascii="Arial" w:hAnsi="Arial" w:cs="Arial"/>
                <w:color w:val="auto"/>
              </w:rPr>
              <w:t xml:space="preserve"> policies mentioned in sub-paragraph (b) of the legislation</w:t>
            </w:r>
          </w:p>
          <w:p w14:paraId="04F37A7D" w14:textId="77777777" w:rsidR="00C9594C" w:rsidRPr="00977215" w:rsidRDefault="00C9594C" w:rsidP="00701B33">
            <w:pPr>
              <w:rPr>
                <w:rFonts w:ascii="Arial" w:hAnsi="Arial" w:cs="Arial"/>
                <w:color w:val="auto"/>
              </w:rPr>
            </w:pPr>
            <w:r w:rsidRPr="00977215">
              <w:rPr>
                <w:rFonts w:ascii="Arial" w:hAnsi="Arial" w:cs="Arial"/>
                <w:color w:val="auto"/>
              </w:rPr>
              <w:t>And</w:t>
            </w:r>
          </w:p>
          <w:p w14:paraId="0BAECF47" w14:textId="77777777" w:rsidR="00C9594C" w:rsidRPr="00977215" w:rsidRDefault="00C9594C" w:rsidP="00701B33">
            <w:pPr>
              <w:rPr>
                <w:rFonts w:ascii="Arial" w:hAnsi="Arial" w:cs="Arial"/>
                <w:color w:val="auto"/>
              </w:rPr>
            </w:pPr>
            <w:r w:rsidRPr="00977215">
              <w:rPr>
                <w:rFonts w:ascii="Arial" w:hAnsi="Arial" w:cs="Arial"/>
                <w:color w:val="auto"/>
              </w:rPr>
              <w:t>The duration of the arrangement with the asset manager</w:t>
            </w:r>
          </w:p>
        </w:tc>
        <w:tc>
          <w:tcPr>
            <w:tcW w:w="5236" w:type="dxa"/>
          </w:tcPr>
          <w:p w14:paraId="4C527D4E" w14:textId="77777777" w:rsidR="00C9594C" w:rsidRPr="00977215" w:rsidRDefault="00C9594C" w:rsidP="00701B33">
            <w:pPr>
              <w:rPr>
                <w:rFonts w:ascii="Arial" w:hAnsi="Arial" w:cs="Arial"/>
                <w:i/>
                <w:color w:val="auto"/>
              </w:rPr>
            </w:pPr>
            <w:r w:rsidRPr="00977215">
              <w:rPr>
                <w:rFonts w:ascii="Arial" w:hAnsi="Arial" w:cs="Arial"/>
                <w:i/>
                <w:color w:val="auto"/>
              </w:rPr>
              <w:t>For each appointment retention is dependent upon the Trustee having ongoing confidence that the investment manager will achieve its investment objective. The Trustee makes this assessment taking into account various factors which includes performance to date as well as an assessment of future prospects.</w:t>
            </w:r>
          </w:p>
          <w:p w14:paraId="139E011D" w14:textId="77777777" w:rsidR="00C9594C" w:rsidRPr="00977215" w:rsidRDefault="00C9594C" w:rsidP="00701B33">
            <w:pPr>
              <w:rPr>
                <w:rFonts w:ascii="Arial" w:hAnsi="Arial" w:cs="Arial"/>
                <w:i/>
                <w:color w:val="auto"/>
              </w:rPr>
            </w:pPr>
            <w:r w:rsidRPr="00977215">
              <w:rPr>
                <w:rFonts w:ascii="Arial" w:hAnsi="Arial" w:cs="Arial"/>
                <w:i/>
                <w:color w:val="auto"/>
              </w:rPr>
              <w:t xml:space="preserve">Investment managers are incentivised both to achieve the objectives set for them, which are consistent with the Trustee’s policies and objectives, and to ensure that they remain capable of doing so on a rolling basis. This encourages investment managers to take a suitably </w:t>
            </w:r>
            <w:proofErr w:type="gramStart"/>
            <w:r w:rsidRPr="00977215">
              <w:rPr>
                <w:rFonts w:ascii="Arial" w:hAnsi="Arial" w:cs="Arial"/>
                <w:i/>
                <w:color w:val="auto"/>
              </w:rPr>
              <w:t>long term</w:t>
            </w:r>
            <w:proofErr w:type="gramEnd"/>
            <w:r w:rsidRPr="00977215">
              <w:rPr>
                <w:rFonts w:ascii="Arial" w:hAnsi="Arial" w:cs="Arial"/>
                <w:i/>
                <w:color w:val="auto"/>
              </w:rPr>
              <w:t xml:space="preserve"> view when assessing the performance prospects of, and engaging with, the equity and debt issuers in which they invest or seek to invest.</w:t>
            </w:r>
          </w:p>
        </w:tc>
        <w:tc>
          <w:tcPr>
            <w:tcW w:w="5812" w:type="dxa"/>
          </w:tcPr>
          <w:p w14:paraId="481CA3DE" w14:textId="21E1525F" w:rsidR="00C9594C" w:rsidRPr="00FA7798" w:rsidRDefault="001A6E09" w:rsidP="0049314B">
            <w:pPr>
              <w:pStyle w:val="ListBullet"/>
              <w:numPr>
                <w:ilvl w:val="0"/>
                <w:numId w:val="0"/>
              </w:numPr>
              <w:rPr>
                <w:rFonts w:ascii="Arial" w:hAnsi="Arial" w:cs="Arial"/>
                <w:color w:val="auto"/>
              </w:rPr>
            </w:pPr>
            <w:r w:rsidRPr="00FA7798">
              <w:rPr>
                <w:rFonts w:ascii="Arial" w:hAnsi="Arial" w:cs="Arial"/>
                <w:color w:val="auto"/>
              </w:rPr>
              <w:t xml:space="preserve">There were no </w:t>
            </w:r>
            <w:r w:rsidR="0049418B" w:rsidRPr="00FA7798">
              <w:rPr>
                <w:rFonts w:ascii="Arial" w:hAnsi="Arial" w:cs="Arial"/>
                <w:color w:val="auto"/>
              </w:rPr>
              <w:t xml:space="preserve">significant </w:t>
            </w:r>
            <w:r w:rsidRPr="00FA7798">
              <w:rPr>
                <w:rFonts w:ascii="Arial" w:hAnsi="Arial" w:cs="Arial"/>
                <w:color w:val="auto"/>
              </w:rPr>
              <w:t>concerns regarding confidence in the investment managers to achieve their objectives during the year.</w:t>
            </w:r>
            <w:r w:rsidRPr="00FA7798" w:rsidDel="001A6E09">
              <w:rPr>
                <w:rFonts w:ascii="Arial" w:hAnsi="Arial" w:cs="Arial"/>
                <w:color w:val="auto"/>
              </w:rPr>
              <w:t xml:space="preserve"> </w:t>
            </w:r>
          </w:p>
        </w:tc>
      </w:tr>
      <w:tr w:rsidR="003B0820" w:rsidRPr="003B0820" w14:paraId="39263B9E" w14:textId="77777777" w:rsidTr="004D028C">
        <w:tc>
          <w:tcPr>
            <w:tcW w:w="461" w:type="dxa"/>
          </w:tcPr>
          <w:p w14:paraId="361B6C12" w14:textId="77777777" w:rsidR="00C9594C" w:rsidRPr="00977215" w:rsidRDefault="00C9594C" w:rsidP="003D41F8">
            <w:pPr>
              <w:jc w:val="both"/>
              <w:rPr>
                <w:rFonts w:ascii="Arial" w:hAnsi="Arial" w:cs="Arial"/>
                <w:color w:val="auto"/>
              </w:rPr>
            </w:pPr>
            <w:r w:rsidRPr="00977215">
              <w:rPr>
                <w:rFonts w:ascii="Arial" w:hAnsi="Arial" w:cs="Arial"/>
                <w:color w:val="auto"/>
              </w:rPr>
              <w:t>11</w:t>
            </w:r>
          </w:p>
        </w:tc>
        <w:tc>
          <w:tcPr>
            <w:tcW w:w="2520" w:type="dxa"/>
          </w:tcPr>
          <w:p w14:paraId="550DBE43" w14:textId="77777777" w:rsidR="00C9594C" w:rsidRPr="00977215" w:rsidRDefault="00C9594C" w:rsidP="00701B33">
            <w:pPr>
              <w:rPr>
                <w:rFonts w:ascii="Arial" w:hAnsi="Arial" w:cs="Arial"/>
                <w:color w:val="auto"/>
              </w:rPr>
            </w:pPr>
            <w:r w:rsidRPr="00977215">
              <w:rPr>
                <w:rFonts w:ascii="Arial" w:hAnsi="Arial" w:cs="Arial"/>
                <w:color w:val="auto"/>
              </w:rPr>
              <w:t xml:space="preserve">How the arrangement incentivises the asset manager to make decisions based on </w:t>
            </w:r>
            <w:r w:rsidRPr="00977215">
              <w:rPr>
                <w:rFonts w:ascii="Arial" w:hAnsi="Arial" w:cs="Arial"/>
                <w:color w:val="auto"/>
              </w:rPr>
              <w:lastRenderedPageBreak/>
              <w:t>assessments about medium to long-term financial and non-financial performance of an issuer of debt or equity and to engage with issuers of debt or equity in order to improve their performance in the medium to long-term.</w:t>
            </w:r>
          </w:p>
          <w:p w14:paraId="0B48F45F" w14:textId="26EE5DFC" w:rsidR="00C9594C" w:rsidRPr="00977215" w:rsidRDefault="00C9594C" w:rsidP="00701B33">
            <w:pPr>
              <w:rPr>
                <w:rFonts w:ascii="Arial" w:hAnsi="Arial" w:cs="Arial"/>
                <w:color w:val="auto"/>
              </w:rPr>
            </w:pPr>
            <w:r w:rsidRPr="00977215">
              <w:rPr>
                <w:rFonts w:ascii="Arial" w:hAnsi="Arial" w:cs="Arial"/>
                <w:color w:val="auto"/>
              </w:rPr>
              <w:t>And</w:t>
            </w:r>
          </w:p>
          <w:p w14:paraId="08D3A6CC" w14:textId="7FFE2279" w:rsidR="00C9594C" w:rsidRPr="00977215" w:rsidRDefault="00C9594C" w:rsidP="00701B33">
            <w:pPr>
              <w:rPr>
                <w:rFonts w:ascii="Arial" w:hAnsi="Arial" w:cs="Arial"/>
                <w:color w:val="auto"/>
              </w:rPr>
            </w:pPr>
            <w:r w:rsidRPr="00977215">
              <w:rPr>
                <w:rFonts w:ascii="Arial" w:hAnsi="Arial" w:cs="Arial"/>
                <w:color w:val="auto"/>
              </w:rPr>
              <w:t>How the method (and time horizon) of the evaluation of the asset manager’s performance and the remuneration for asset management services are in line with the trustees’ policies mentioned in sub-paragraph (b) of the legislation</w:t>
            </w:r>
          </w:p>
        </w:tc>
        <w:tc>
          <w:tcPr>
            <w:tcW w:w="5236" w:type="dxa"/>
          </w:tcPr>
          <w:p w14:paraId="3AB2A21F" w14:textId="77777777" w:rsidR="00C9594C" w:rsidRPr="00977215" w:rsidRDefault="00C9594C" w:rsidP="00701B33">
            <w:pPr>
              <w:rPr>
                <w:rFonts w:ascii="Arial" w:hAnsi="Arial" w:cs="Arial"/>
                <w:i/>
                <w:color w:val="auto"/>
              </w:rPr>
            </w:pPr>
            <w:r w:rsidRPr="00977215">
              <w:rPr>
                <w:rFonts w:ascii="Arial" w:hAnsi="Arial" w:cs="Arial"/>
                <w:i/>
                <w:color w:val="auto"/>
              </w:rPr>
              <w:lastRenderedPageBreak/>
              <w:t xml:space="preserve">The Trustee receives reporting on asset class and investment manager performance on a regular basis, via a combination of formal independent </w:t>
            </w:r>
            <w:r w:rsidRPr="00977215">
              <w:rPr>
                <w:rFonts w:ascii="Arial" w:hAnsi="Arial" w:cs="Arial"/>
                <w:i/>
                <w:color w:val="auto"/>
              </w:rPr>
              <w:lastRenderedPageBreak/>
              <w:t>reports and presentations from the investment managers.</w:t>
            </w:r>
          </w:p>
          <w:p w14:paraId="72025A12" w14:textId="77777777" w:rsidR="00C9594C" w:rsidRPr="00977215" w:rsidRDefault="00C9594C" w:rsidP="00701B33">
            <w:pPr>
              <w:rPr>
                <w:rFonts w:ascii="Arial" w:hAnsi="Arial" w:cs="Arial"/>
                <w:i/>
                <w:color w:val="auto"/>
              </w:rPr>
            </w:pPr>
            <w:r w:rsidRPr="00977215">
              <w:rPr>
                <w:rFonts w:ascii="Arial" w:hAnsi="Arial" w:cs="Arial"/>
                <w:i/>
                <w:color w:val="auto"/>
              </w:rPr>
              <w:t>Investment returns (and volatility) are measured on both an absolute basis and relative to one or more suitable benchmarks and targets. Returns are considered net of fees and ongoing transaction costs.</w:t>
            </w:r>
          </w:p>
          <w:p w14:paraId="5F466A6F" w14:textId="77777777" w:rsidR="00C9594C" w:rsidRPr="00977215" w:rsidRDefault="00C9594C" w:rsidP="00701B33">
            <w:pPr>
              <w:rPr>
                <w:rFonts w:ascii="Arial" w:hAnsi="Arial" w:cs="Arial"/>
                <w:i/>
                <w:color w:val="auto"/>
              </w:rPr>
            </w:pPr>
            <w:r w:rsidRPr="00977215">
              <w:rPr>
                <w:rFonts w:ascii="Arial" w:hAnsi="Arial" w:cs="Arial"/>
                <w:i/>
                <w:color w:val="auto"/>
              </w:rPr>
              <w:t xml:space="preserve">The majority of investment managers are remunerated by way of a fee calculated as a percentage of assets under management. For liability hedging a fee is payable calculated as a percentage of the hedged exposure. In each case, the principal incentive is for the investment manager to retain their appointment (in full), by achieving their objectives, in order to continue to receive their fee in full. On some mandates, performance related fees are also in operation. Performance related fees incentivise the manager to outperform their target as they take a share of the outperformance. The Trustee will consider introduction of performance related fees on a </w:t>
            </w:r>
            <w:proofErr w:type="gramStart"/>
            <w:r w:rsidRPr="00977215">
              <w:rPr>
                <w:rFonts w:ascii="Arial" w:hAnsi="Arial" w:cs="Arial"/>
                <w:i/>
                <w:color w:val="auto"/>
              </w:rPr>
              <w:t>case by case</w:t>
            </w:r>
            <w:proofErr w:type="gramEnd"/>
            <w:r w:rsidRPr="00977215">
              <w:rPr>
                <w:rFonts w:ascii="Arial" w:hAnsi="Arial" w:cs="Arial"/>
                <w:i/>
                <w:color w:val="auto"/>
              </w:rPr>
              <w:t xml:space="preserve"> basis where not in operation and would also consider requesting fee reductions. Investment managers are not remunerated based on portfolio turnover.</w:t>
            </w:r>
          </w:p>
        </w:tc>
        <w:tc>
          <w:tcPr>
            <w:tcW w:w="5812" w:type="dxa"/>
          </w:tcPr>
          <w:p w14:paraId="2B6E14F1" w14:textId="77777777" w:rsidR="00C9594C" w:rsidRPr="003B0820" w:rsidRDefault="00C9594C" w:rsidP="00701B33">
            <w:pPr>
              <w:rPr>
                <w:rFonts w:ascii="Arial" w:hAnsi="Arial" w:cs="Arial"/>
                <w:color w:val="auto"/>
              </w:rPr>
            </w:pPr>
            <w:r w:rsidRPr="003B0820">
              <w:rPr>
                <w:rFonts w:ascii="Arial" w:hAnsi="Arial" w:cs="Arial"/>
                <w:color w:val="auto"/>
              </w:rPr>
              <w:lastRenderedPageBreak/>
              <w:t xml:space="preserve">The Trustee has continued to receive quarterly reporting over the year, including the performance of the investment managers, over the </w:t>
            </w:r>
            <w:proofErr w:type="gramStart"/>
            <w:r w:rsidRPr="003B0820">
              <w:rPr>
                <w:rFonts w:ascii="Arial" w:hAnsi="Arial" w:cs="Arial"/>
                <w:color w:val="auto"/>
              </w:rPr>
              <w:t>3 month</w:t>
            </w:r>
            <w:proofErr w:type="gramEnd"/>
            <w:r w:rsidRPr="003B0820">
              <w:rPr>
                <w:rFonts w:ascii="Arial" w:hAnsi="Arial" w:cs="Arial"/>
                <w:color w:val="auto"/>
              </w:rPr>
              <w:t xml:space="preserve">, 1 year and 3 </w:t>
            </w:r>
            <w:r w:rsidRPr="003B0820">
              <w:rPr>
                <w:rFonts w:ascii="Arial" w:hAnsi="Arial" w:cs="Arial"/>
                <w:color w:val="auto"/>
              </w:rPr>
              <w:lastRenderedPageBreak/>
              <w:t>years periods to the quarter end and since inception of each mandate.</w:t>
            </w:r>
          </w:p>
        </w:tc>
      </w:tr>
      <w:tr w:rsidR="003D41F8" w:rsidRPr="006C109D" w14:paraId="748C093F" w14:textId="77777777" w:rsidTr="004D028C">
        <w:tc>
          <w:tcPr>
            <w:tcW w:w="461" w:type="dxa"/>
          </w:tcPr>
          <w:p w14:paraId="0AC9DC9E" w14:textId="77777777" w:rsidR="00C9594C" w:rsidRPr="00977215" w:rsidRDefault="00C9594C" w:rsidP="003D41F8">
            <w:pPr>
              <w:jc w:val="both"/>
              <w:rPr>
                <w:rFonts w:ascii="Arial" w:hAnsi="Arial" w:cs="Arial"/>
                <w:color w:val="auto"/>
              </w:rPr>
            </w:pPr>
            <w:r w:rsidRPr="00977215">
              <w:rPr>
                <w:rFonts w:ascii="Arial" w:hAnsi="Arial" w:cs="Arial"/>
                <w:color w:val="auto"/>
              </w:rPr>
              <w:lastRenderedPageBreak/>
              <w:t>12</w:t>
            </w:r>
          </w:p>
        </w:tc>
        <w:tc>
          <w:tcPr>
            <w:tcW w:w="2520" w:type="dxa"/>
          </w:tcPr>
          <w:p w14:paraId="7D21400F" w14:textId="77777777" w:rsidR="00C9594C" w:rsidRPr="00977215" w:rsidRDefault="00C9594C" w:rsidP="00701B33">
            <w:pPr>
              <w:rPr>
                <w:rFonts w:ascii="Arial" w:hAnsi="Arial" w:cs="Arial"/>
                <w:color w:val="auto"/>
              </w:rPr>
            </w:pPr>
            <w:r w:rsidRPr="00977215">
              <w:rPr>
                <w:rFonts w:ascii="Arial" w:hAnsi="Arial" w:cs="Arial"/>
                <w:color w:val="auto"/>
              </w:rPr>
              <w:t xml:space="preserve">How the trustees monitor portfolio turnover costs incurred by the asset manager, and how they define and monitor targeted </w:t>
            </w:r>
            <w:r w:rsidRPr="00977215">
              <w:rPr>
                <w:rFonts w:ascii="Arial" w:hAnsi="Arial" w:cs="Arial"/>
                <w:color w:val="auto"/>
              </w:rPr>
              <w:lastRenderedPageBreak/>
              <w:t>portfolio turnover or turnover range.</w:t>
            </w:r>
          </w:p>
        </w:tc>
        <w:tc>
          <w:tcPr>
            <w:tcW w:w="5236" w:type="dxa"/>
          </w:tcPr>
          <w:p w14:paraId="17FAAF19" w14:textId="02448C9B" w:rsidR="00C9594C" w:rsidRDefault="00F627EE" w:rsidP="00701B33">
            <w:pPr>
              <w:rPr>
                <w:rFonts w:ascii="Arial" w:hAnsi="Arial" w:cs="Arial"/>
                <w:i/>
                <w:color w:val="auto"/>
              </w:rPr>
            </w:pPr>
            <w:r>
              <w:rPr>
                <w:rFonts w:ascii="Arial" w:hAnsi="Arial" w:cs="Arial"/>
                <w:i/>
                <w:color w:val="auto"/>
              </w:rPr>
              <w:lastRenderedPageBreak/>
              <w:t>Turnover costs arise from a) “ongoing” transactions within an investment manager’s portfolio and b) “cashflow” costs incurred when investing in or realising assets from a mandate.</w:t>
            </w:r>
          </w:p>
          <w:p w14:paraId="373B6DD6" w14:textId="77777777" w:rsidR="00F627EE" w:rsidRDefault="00F627EE" w:rsidP="00701B33">
            <w:pPr>
              <w:rPr>
                <w:rFonts w:ascii="Arial" w:hAnsi="Arial" w:cs="Arial"/>
                <w:i/>
                <w:color w:val="auto"/>
              </w:rPr>
            </w:pPr>
            <w:r>
              <w:rPr>
                <w:rFonts w:ascii="Arial" w:hAnsi="Arial" w:cs="Arial"/>
                <w:i/>
                <w:color w:val="auto"/>
              </w:rPr>
              <w:lastRenderedPageBreak/>
              <w:t>The Trustee seeks explicit reporting on ongoing costs from the Scheme’s investment managers.</w:t>
            </w:r>
          </w:p>
          <w:p w14:paraId="7FA37528" w14:textId="50FC6D03" w:rsidR="00F627EE" w:rsidRPr="00977215" w:rsidRDefault="00F627EE" w:rsidP="00701B33">
            <w:pPr>
              <w:rPr>
                <w:rFonts w:ascii="Arial" w:hAnsi="Arial" w:cs="Arial"/>
                <w:i/>
                <w:color w:val="auto"/>
              </w:rPr>
            </w:pPr>
            <w:r>
              <w:rPr>
                <w:rFonts w:ascii="Arial" w:hAnsi="Arial" w:cs="Arial"/>
                <w:i/>
                <w:color w:val="auto"/>
              </w:rPr>
              <w:t>The Trustee does not monitor regular cashflow costs (but seeks to minimise them through ongoing cashflow policy).  The Trustee monitors the costs of implementing strategic change via the investment consultant.</w:t>
            </w:r>
          </w:p>
        </w:tc>
        <w:tc>
          <w:tcPr>
            <w:tcW w:w="5812" w:type="dxa"/>
          </w:tcPr>
          <w:p w14:paraId="495AD8FE" w14:textId="33F47242" w:rsidR="00094558" w:rsidRPr="00FA7798" w:rsidRDefault="004E074C" w:rsidP="00701B33">
            <w:pPr>
              <w:rPr>
                <w:rFonts w:ascii="Arial" w:hAnsi="Arial" w:cs="Arial"/>
                <w:color w:val="auto"/>
              </w:rPr>
            </w:pPr>
            <w:r w:rsidRPr="00FA7798">
              <w:rPr>
                <w:rFonts w:ascii="Arial" w:hAnsi="Arial" w:cs="Arial"/>
                <w:color w:val="auto"/>
              </w:rPr>
              <w:lastRenderedPageBreak/>
              <w:t>Assessment of performance in quarterly monitoring was carried out on a net of fees</w:t>
            </w:r>
            <w:r w:rsidR="00835C5E" w:rsidRPr="00FA7798">
              <w:rPr>
                <w:rFonts w:ascii="Arial" w:hAnsi="Arial" w:cs="Arial"/>
                <w:color w:val="auto"/>
              </w:rPr>
              <w:t xml:space="preserve"> and costs</w:t>
            </w:r>
            <w:r w:rsidRPr="00FA7798">
              <w:rPr>
                <w:rFonts w:ascii="Arial" w:hAnsi="Arial" w:cs="Arial"/>
                <w:color w:val="auto"/>
              </w:rPr>
              <w:t xml:space="preserve"> basis over the year.</w:t>
            </w:r>
          </w:p>
          <w:p w14:paraId="4715BBFD" w14:textId="02FD71F2" w:rsidR="003B01F8" w:rsidRPr="00FA7798" w:rsidRDefault="003B01F8" w:rsidP="003B01F8">
            <w:pPr>
              <w:rPr>
                <w:rFonts w:ascii="Arial" w:hAnsi="Arial" w:cs="Arial"/>
                <w:color w:val="auto"/>
              </w:rPr>
            </w:pPr>
            <w:r w:rsidRPr="00FA7798">
              <w:rPr>
                <w:rFonts w:ascii="Arial" w:hAnsi="Arial" w:cs="Arial"/>
                <w:color w:val="auto"/>
              </w:rPr>
              <w:lastRenderedPageBreak/>
              <w:t xml:space="preserve">The Trustee monitors </w:t>
            </w:r>
            <w:r w:rsidR="00F627EE">
              <w:rPr>
                <w:rFonts w:ascii="Arial" w:hAnsi="Arial" w:cs="Arial"/>
                <w:color w:val="auto"/>
              </w:rPr>
              <w:t xml:space="preserve">ongoing </w:t>
            </w:r>
            <w:r w:rsidRPr="00FA7798">
              <w:rPr>
                <w:rFonts w:ascii="Arial" w:hAnsi="Arial" w:cs="Arial"/>
                <w:color w:val="auto"/>
              </w:rPr>
              <w:t>turnover costs on an annual basis</w:t>
            </w:r>
            <w:r w:rsidR="004D028C" w:rsidRPr="00FA7798">
              <w:rPr>
                <w:rFonts w:ascii="Arial" w:hAnsi="Arial" w:cs="Arial"/>
                <w:color w:val="auto"/>
              </w:rPr>
              <w:t xml:space="preserve"> and the estimated costs over the year to 31 March 202</w:t>
            </w:r>
            <w:r w:rsidR="00FA7798" w:rsidRPr="00FA7798">
              <w:rPr>
                <w:rFonts w:ascii="Arial" w:hAnsi="Arial" w:cs="Arial"/>
                <w:color w:val="auto"/>
              </w:rPr>
              <w:t>5</w:t>
            </w:r>
            <w:r w:rsidR="00B4251F" w:rsidRPr="00FA7798">
              <w:rPr>
                <w:rFonts w:ascii="Arial" w:hAnsi="Arial" w:cs="Arial"/>
                <w:color w:val="auto"/>
              </w:rPr>
              <w:t xml:space="preserve"> </w:t>
            </w:r>
            <w:r w:rsidR="004D028C" w:rsidRPr="00FA7798">
              <w:rPr>
                <w:rFonts w:ascii="Arial" w:hAnsi="Arial" w:cs="Arial"/>
                <w:color w:val="auto"/>
              </w:rPr>
              <w:t>are as follows</w:t>
            </w:r>
            <w:r w:rsidRPr="00FA7798">
              <w:rPr>
                <w:rFonts w:ascii="Arial" w:hAnsi="Arial" w:cs="Arial"/>
                <w:color w:val="auto"/>
              </w:rPr>
              <w:t>:</w:t>
            </w:r>
          </w:p>
          <w:tbl>
            <w:tblPr>
              <w:tblW w:w="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3"/>
              <w:gridCol w:w="2593"/>
            </w:tblGrid>
            <w:tr w:rsidR="00FA7798" w:rsidRPr="00FA7798" w14:paraId="55ED304D" w14:textId="77777777" w:rsidTr="004D028C">
              <w:trPr>
                <w:trHeight w:val="354"/>
              </w:trPr>
              <w:tc>
                <w:tcPr>
                  <w:tcW w:w="2593" w:type="dxa"/>
                  <w:shd w:val="clear" w:color="auto" w:fill="auto"/>
                  <w:noWrap/>
                  <w:vAlign w:val="center"/>
                  <w:hideMark/>
                </w:tcPr>
                <w:p w14:paraId="00260826" w14:textId="77777777" w:rsidR="004D028C" w:rsidRPr="00FA7798" w:rsidRDefault="004D028C" w:rsidP="004D028C">
                  <w:pPr>
                    <w:spacing w:after="0"/>
                    <w:rPr>
                      <w:rFonts w:ascii="Arial" w:hAnsi="Arial" w:cs="Arial"/>
                      <w:b/>
                      <w:bCs/>
                      <w:color w:val="auto"/>
                      <w:szCs w:val="22"/>
                      <w:lang w:val="en-GB" w:eastAsia="en-GB"/>
                    </w:rPr>
                  </w:pPr>
                  <w:r w:rsidRPr="00FA7798">
                    <w:rPr>
                      <w:rFonts w:ascii="Arial" w:hAnsi="Arial" w:cs="Arial"/>
                      <w:b/>
                      <w:bCs/>
                      <w:color w:val="auto"/>
                      <w:szCs w:val="22"/>
                      <w:lang w:val="en-GB" w:eastAsia="en-GB"/>
                    </w:rPr>
                    <w:t>Portfolio</w:t>
                  </w:r>
                </w:p>
              </w:tc>
              <w:tc>
                <w:tcPr>
                  <w:tcW w:w="2593" w:type="dxa"/>
                  <w:shd w:val="clear" w:color="auto" w:fill="auto"/>
                  <w:noWrap/>
                  <w:vAlign w:val="center"/>
                  <w:hideMark/>
                </w:tcPr>
                <w:p w14:paraId="4E134FE7" w14:textId="77777777" w:rsidR="004D028C" w:rsidRPr="00FA7798" w:rsidRDefault="004D028C" w:rsidP="004D028C">
                  <w:pPr>
                    <w:spacing w:after="0"/>
                    <w:jc w:val="center"/>
                    <w:rPr>
                      <w:rFonts w:ascii="Arial" w:hAnsi="Arial" w:cs="Arial"/>
                      <w:b/>
                      <w:bCs/>
                      <w:color w:val="auto"/>
                      <w:szCs w:val="22"/>
                      <w:lang w:val="en-GB" w:eastAsia="en-GB"/>
                    </w:rPr>
                  </w:pPr>
                  <w:r w:rsidRPr="00FA7798">
                    <w:rPr>
                      <w:rFonts w:ascii="Arial" w:hAnsi="Arial" w:cs="Arial"/>
                      <w:b/>
                      <w:bCs/>
                      <w:color w:val="auto"/>
                      <w:szCs w:val="22"/>
                      <w:lang w:val="en-GB" w:eastAsia="en-GB"/>
                    </w:rPr>
                    <w:t>Turnover Costs (%)</w:t>
                  </w:r>
                </w:p>
              </w:tc>
            </w:tr>
            <w:tr w:rsidR="00FA7798" w:rsidRPr="00FA7798" w14:paraId="4BFB3B67" w14:textId="77777777" w:rsidTr="004D028C">
              <w:trPr>
                <w:trHeight w:val="336"/>
              </w:trPr>
              <w:tc>
                <w:tcPr>
                  <w:tcW w:w="2593" w:type="dxa"/>
                  <w:shd w:val="clear" w:color="auto" w:fill="auto"/>
                  <w:noWrap/>
                  <w:vAlign w:val="center"/>
                  <w:hideMark/>
                </w:tcPr>
                <w:p w14:paraId="0762EAF8" w14:textId="77777777" w:rsidR="004D028C" w:rsidRPr="00FA7798" w:rsidRDefault="004D028C" w:rsidP="004D028C">
                  <w:pPr>
                    <w:spacing w:after="0"/>
                    <w:rPr>
                      <w:rFonts w:ascii="Arial" w:hAnsi="Arial" w:cs="Arial"/>
                      <w:color w:val="auto"/>
                      <w:szCs w:val="22"/>
                      <w:lang w:val="en-GB" w:eastAsia="en-GB"/>
                    </w:rPr>
                  </w:pPr>
                  <w:r w:rsidRPr="00FA7798">
                    <w:rPr>
                      <w:rFonts w:ascii="Arial" w:hAnsi="Arial" w:cs="Arial"/>
                      <w:color w:val="auto"/>
                      <w:szCs w:val="22"/>
                      <w:lang w:val="en-GB" w:eastAsia="en-GB"/>
                    </w:rPr>
                    <w:t>Apollo MAC</w:t>
                  </w:r>
                </w:p>
              </w:tc>
              <w:tc>
                <w:tcPr>
                  <w:tcW w:w="2593" w:type="dxa"/>
                  <w:shd w:val="clear" w:color="auto" w:fill="auto"/>
                  <w:noWrap/>
                  <w:vAlign w:val="center"/>
                  <w:hideMark/>
                </w:tcPr>
                <w:p w14:paraId="78DCDC45" w14:textId="2863C07C" w:rsidR="004D028C" w:rsidRPr="00FA7798" w:rsidRDefault="00786A4F" w:rsidP="004D028C">
                  <w:pPr>
                    <w:spacing w:after="0"/>
                    <w:jc w:val="center"/>
                    <w:rPr>
                      <w:rFonts w:ascii="Arial" w:hAnsi="Arial" w:cs="Arial"/>
                      <w:color w:val="auto"/>
                      <w:szCs w:val="22"/>
                      <w:lang w:val="en-GB" w:eastAsia="en-GB"/>
                    </w:rPr>
                  </w:pPr>
                  <w:r w:rsidRPr="00DA7F2D">
                    <w:rPr>
                      <w:rFonts w:ascii="Arial" w:hAnsi="Arial" w:cs="Arial"/>
                      <w:color w:val="auto"/>
                      <w:szCs w:val="22"/>
                      <w:lang w:val="en-GB" w:eastAsia="en-GB"/>
                    </w:rPr>
                    <w:t>0.0</w:t>
                  </w:r>
                  <w:r w:rsidR="00DA7F2D" w:rsidRPr="00DA7F2D">
                    <w:rPr>
                      <w:rFonts w:ascii="Arial" w:hAnsi="Arial" w:cs="Arial"/>
                      <w:color w:val="auto"/>
                      <w:szCs w:val="22"/>
                      <w:lang w:val="en-GB" w:eastAsia="en-GB"/>
                    </w:rPr>
                    <w:t>4</w:t>
                  </w:r>
                </w:p>
              </w:tc>
            </w:tr>
            <w:tr w:rsidR="00FA7798" w:rsidRPr="00FA7798" w14:paraId="4EC26271" w14:textId="77777777" w:rsidTr="004D028C">
              <w:trPr>
                <w:trHeight w:val="336"/>
              </w:trPr>
              <w:tc>
                <w:tcPr>
                  <w:tcW w:w="2593" w:type="dxa"/>
                  <w:shd w:val="clear" w:color="auto" w:fill="auto"/>
                  <w:noWrap/>
                  <w:vAlign w:val="center"/>
                  <w:hideMark/>
                </w:tcPr>
                <w:p w14:paraId="0022AD79" w14:textId="24A0D08C" w:rsidR="004D028C" w:rsidRPr="00FA7798" w:rsidRDefault="004D028C" w:rsidP="004D028C">
                  <w:pPr>
                    <w:spacing w:after="0"/>
                    <w:rPr>
                      <w:rFonts w:ascii="Arial" w:hAnsi="Arial" w:cs="Arial"/>
                      <w:color w:val="auto"/>
                      <w:szCs w:val="22"/>
                      <w:lang w:val="en-GB" w:eastAsia="en-GB"/>
                    </w:rPr>
                  </w:pPr>
                  <w:r w:rsidRPr="00FA7798">
                    <w:rPr>
                      <w:rFonts w:ascii="Arial" w:hAnsi="Arial" w:cs="Arial"/>
                      <w:color w:val="auto"/>
                      <w:szCs w:val="22"/>
                      <w:lang w:val="en-GB" w:eastAsia="en-GB"/>
                    </w:rPr>
                    <w:t>Mercer SPD</w:t>
                  </w:r>
                  <w:r w:rsidRPr="00FA7798">
                    <w:rPr>
                      <w:rFonts w:ascii="Arial" w:hAnsi="Arial" w:cs="Arial"/>
                      <w:color w:val="auto"/>
                      <w:szCs w:val="22"/>
                      <w:vertAlign w:val="superscript"/>
                      <w:lang w:val="en-GB" w:eastAsia="en-GB"/>
                    </w:rPr>
                    <w:t>1</w:t>
                  </w:r>
                </w:p>
              </w:tc>
              <w:tc>
                <w:tcPr>
                  <w:tcW w:w="2593" w:type="dxa"/>
                  <w:shd w:val="clear" w:color="auto" w:fill="auto"/>
                  <w:noWrap/>
                  <w:vAlign w:val="center"/>
                  <w:hideMark/>
                </w:tcPr>
                <w:p w14:paraId="4D65A045" w14:textId="77777777" w:rsidR="004D028C" w:rsidRPr="00A4441F" w:rsidRDefault="004D028C" w:rsidP="004D028C">
                  <w:pPr>
                    <w:spacing w:after="0"/>
                    <w:jc w:val="center"/>
                    <w:rPr>
                      <w:rFonts w:ascii="Arial" w:hAnsi="Arial" w:cs="Arial"/>
                      <w:color w:val="auto"/>
                      <w:szCs w:val="22"/>
                      <w:lang w:val="en-GB" w:eastAsia="en-GB"/>
                    </w:rPr>
                  </w:pPr>
                  <w:r w:rsidRPr="00A4441F">
                    <w:rPr>
                      <w:rFonts w:ascii="Arial" w:hAnsi="Arial" w:cs="Arial"/>
                      <w:color w:val="auto"/>
                      <w:szCs w:val="22"/>
                      <w:lang w:val="en-GB" w:eastAsia="en-GB"/>
                    </w:rPr>
                    <w:t>n/a</w:t>
                  </w:r>
                </w:p>
              </w:tc>
            </w:tr>
            <w:tr w:rsidR="00FA7798" w:rsidRPr="00FA7798" w14:paraId="74BE2106" w14:textId="77777777" w:rsidTr="004D028C">
              <w:trPr>
                <w:trHeight w:val="336"/>
              </w:trPr>
              <w:tc>
                <w:tcPr>
                  <w:tcW w:w="2593" w:type="dxa"/>
                  <w:shd w:val="clear" w:color="auto" w:fill="auto"/>
                  <w:noWrap/>
                  <w:vAlign w:val="center"/>
                  <w:hideMark/>
                </w:tcPr>
                <w:p w14:paraId="74C6B761" w14:textId="09524ACE" w:rsidR="004D028C" w:rsidRPr="00FA7798" w:rsidRDefault="00DF65E2" w:rsidP="004D028C">
                  <w:pPr>
                    <w:spacing w:after="0"/>
                    <w:rPr>
                      <w:rFonts w:ascii="Arial" w:hAnsi="Arial" w:cs="Arial"/>
                      <w:color w:val="auto"/>
                      <w:szCs w:val="22"/>
                      <w:lang w:val="en-GB" w:eastAsia="en-GB"/>
                    </w:rPr>
                  </w:pPr>
                  <w:r w:rsidRPr="00FA7798">
                    <w:rPr>
                      <w:rFonts w:ascii="Arial" w:hAnsi="Arial" w:cs="Arial"/>
                      <w:color w:val="auto"/>
                      <w:szCs w:val="22"/>
                      <w:lang w:val="en-GB" w:eastAsia="en-GB"/>
                    </w:rPr>
                    <w:t>M&amp;G</w:t>
                  </w:r>
                </w:p>
              </w:tc>
              <w:tc>
                <w:tcPr>
                  <w:tcW w:w="2593" w:type="dxa"/>
                  <w:shd w:val="clear" w:color="auto" w:fill="auto"/>
                  <w:noWrap/>
                  <w:vAlign w:val="center"/>
                  <w:hideMark/>
                </w:tcPr>
                <w:p w14:paraId="0675EAD2" w14:textId="358D6ADC" w:rsidR="004D028C" w:rsidRPr="00A4441F" w:rsidRDefault="00895F2B" w:rsidP="004D028C">
                  <w:pPr>
                    <w:spacing w:after="0"/>
                    <w:jc w:val="center"/>
                    <w:rPr>
                      <w:rFonts w:ascii="Arial" w:hAnsi="Arial" w:cs="Arial"/>
                      <w:color w:val="auto"/>
                      <w:szCs w:val="22"/>
                      <w:lang w:val="en-GB" w:eastAsia="en-GB"/>
                    </w:rPr>
                  </w:pPr>
                  <w:r w:rsidRPr="00A4441F">
                    <w:rPr>
                      <w:rFonts w:ascii="Arial" w:hAnsi="Arial" w:cs="Arial"/>
                      <w:color w:val="auto"/>
                      <w:szCs w:val="22"/>
                      <w:lang w:val="en-GB" w:eastAsia="en-GB"/>
                    </w:rPr>
                    <w:t>0.0</w:t>
                  </w:r>
                  <w:r w:rsidR="00DA7F2D" w:rsidRPr="00A4441F">
                    <w:rPr>
                      <w:rFonts w:ascii="Arial" w:hAnsi="Arial" w:cs="Arial"/>
                      <w:color w:val="auto"/>
                      <w:szCs w:val="22"/>
                      <w:lang w:val="en-GB" w:eastAsia="en-GB"/>
                    </w:rPr>
                    <w:t>1</w:t>
                  </w:r>
                </w:p>
              </w:tc>
            </w:tr>
            <w:tr w:rsidR="00FA7798" w:rsidRPr="00FA7798" w14:paraId="6983FDF5" w14:textId="77777777" w:rsidTr="004D028C">
              <w:trPr>
                <w:trHeight w:val="336"/>
              </w:trPr>
              <w:tc>
                <w:tcPr>
                  <w:tcW w:w="2593" w:type="dxa"/>
                  <w:shd w:val="clear" w:color="auto" w:fill="auto"/>
                  <w:noWrap/>
                  <w:vAlign w:val="center"/>
                  <w:hideMark/>
                </w:tcPr>
                <w:p w14:paraId="3D05DFDC" w14:textId="0604D43E" w:rsidR="004D028C" w:rsidRPr="00FA7798" w:rsidRDefault="004D028C" w:rsidP="00BA7D4C">
                  <w:pPr>
                    <w:spacing w:after="0"/>
                    <w:rPr>
                      <w:rFonts w:ascii="Arial" w:hAnsi="Arial" w:cs="Arial"/>
                      <w:color w:val="auto"/>
                      <w:szCs w:val="22"/>
                      <w:lang w:val="en-GB" w:eastAsia="en-GB"/>
                    </w:rPr>
                  </w:pPr>
                  <w:r w:rsidRPr="00FA7798">
                    <w:rPr>
                      <w:rFonts w:ascii="Arial" w:hAnsi="Arial" w:cs="Arial"/>
                      <w:color w:val="auto"/>
                      <w:szCs w:val="22"/>
                      <w:lang w:val="en-GB" w:eastAsia="en-GB"/>
                    </w:rPr>
                    <w:t>Insight</w:t>
                  </w:r>
                  <w:r w:rsidR="00FB6233" w:rsidRPr="00FA7798">
                    <w:rPr>
                      <w:rFonts w:ascii="Arial" w:hAnsi="Arial" w:cs="Arial"/>
                      <w:color w:val="auto"/>
                      <w:szCs w:val="22"/>
                      <w:vertAlign w:val="superscript"/>
                      <w:lang w:val="en-GB" w:eastAsia="en-GB"/>
                    </w:rPr>
                    <w:t>2</w:t>
                  </w:r>
                </w:p>
              </w:tc>
              <w:tc>
                <w:tcPr>
                  <w:tcW w:w="2593" w:type="dxa"/>
                  <w:shd w:val="clear" w:color="auto" w:fill="auto"/>
                  <w:noWrap/>
                  <w:vAlign w:val="center"/>
                  <w:hideMark/>
                </w:tcPr>
                <w:p w14:paraId="2569DE5B" w14:textId="571FBCDA" w:rsidR="004D028C" w:rsidRPr="00A4441F" w:rsidRDefault="00895F2B" w:rsidP="004D028C">
                  <w:pPr>
                    <w:spacing w:after="0"/>
                    <w:jc w:val="center"/>
                    <w:rPr>
                      <w:rFonts w:ascii="Arial" w:hAnsi="Arial" w:cs="Arial"/>
                      <w:color w:val="auto"/>
                      <w:szCs w:val="22"/>
                      <w:lang w:val="en-GB" w:eastAsia="en-GB"/>
                    </w:rPr>
                  </w:pPr>
                  <w:r w:rsidRPr="00A4441F">
                    <w:rPr>
                      <w:rFonts w:ascii="Arial" w:hAnsi="Arial" w:cs="Arial"/>
                      <w:color w:val="auto"/>
                      <w:szCs w:val="22"/>
                      <w:lang w:val="en-GB" w:eastAsia="en-GB"/>
                    </w:rPr>
                    <w:t>0.2</w:t>
                  </w:r>
                  <w:r w:rsidR="00DA7F2D" w:rsidRPr="00A4441F">
                    <w:rPr>
                      <w:rFonts w:ascii="Arial" w:hAnsi="Arial" w:cs="Arial"/>
                      <w:color w:val="auto"/>
                      <w:szCs w:val="22"/>
                      <w:lang w:val="en-GB" w:eastAsia="en-GB"/>
                    </w:rPr>
                    <w:t>0</w:t>
                  </w:r>
                </w:p>
              </w:tc>
            </w:tr>
            <w:tr w:rsidR="00FA7798" w:rsidRPr="00FA7798" w14:paraId="2C14AC8F" w14:textId="77777777" w:rsidTr="004D028C">
              <w:trPr>
                <w:trHeight w:val="336"/>
              </w:trPr>
              <w:tc>
                <w:tcPr>
                  <w:tcW w:w="5186" w:type="dxa"/>
                  <w:gridSpan w:val="2"/>
                  <w:tcBorders>
                    <w:left w:val="nil"/>
                    <w:bottom w:val="nil"/>
                    <w:right w:val="nil"/>
                  </w:tcBorders>
                  <w:shd w:val="clear" w:color="auto" w:fill="auto"/>
                  <w:noWrap/>
                  <w:vAlign w:val="center"/>
                </w:tcPr>
                <w:p w14:paraId="27242AB2" w14:textId="2353F7D8" w:rsidR="004D028C" w:rsidRPr="00FA7798" w:rsidRDefault="004D028C" w:rsidP="004D028C">
                  <w:pPr>
                    <w:spacing w:after="0"/>
                    <w:rPr>
                      <w:rFonts w:ascii="Arial" w:hAnsi="Arial" w:cs="Arial"/>
                      <w:i/>
                      <w:color w:val="auto"/>
                      <w:sz w:val="14"/>
                      <w:szCs w:val="22"/>
                      <w:lang w:val="en-GB" w:eastAsia="en-GB"/>
                    </w:rPr>
                  </w:pPr>
                  <w:r w:rsidRPr="00FA7798">
                    <w:rPr>
                      <w:rFonts w:ascii="Arial" w:hAnsi="Arial" w:cs="Arial"/>
                      <w:i/>
                      <w:color w:val="auto"/>
                      <w:sz w:val="14"/>
                      <w:szCs w:val="22"/>
                      <w:lang w:val="en-GB" w:eastAsia="en-GB"/>
                    </w:rPr>
                    <w:t>Source: Investment managers</w:t>
                  </w:r>
                  <w:r w:rsidR="00B1722C" w:rsidRPr="00FA7798">
                    <w:rPr>
                      <w:rFonts w:ascii="Arial" w:hAnsi="Arial" w:cs="Arial"/>
                      <w:i/>
                      <w:color w:val="auto"/>
                      <w:sz w:val="14"/>
                      <w:szCs w:val="22"/>
                      <w:lang w:val="en-GB" w:eastAsia="en-GB"/>
                    </w:rPr>
                    <w:t>.</w:t>
                  </w:r>
                </w:p>
                <w:p w14:paraId="5D15EAD4" w14:textId="77777777" w:rsidR="00340A7E" w:rsidRPr="00FA7798" w:rsidRDefault="004D028C" w:rsidP="00D05944">
                  <w:pPr>
                    <w:spacing w:after="0"/>
                    <w:rPr>
                      <w:rFonts w:ascii="Arial" w:hAnsi="Arial" w:cs="Arial"/>
                      <w:i/>
                      <w:color w:val="auto"/>
                      <w:sz w:val="14"/>
                      <w:szCs w:val="22"/>
                      <w:lang w:val="en-GB" w:eastAsia="en-GB"/>
                    </w:rPr>
                  </w:pPr>
                  <w:r w:rsidRPr="00FA7798">
                    <w:rPr>
                      <w:rFonts w:ascii="Arial" w:hAnsi="Arial" w:cs="Arial"/>
                      <w:i/>
                      <w:color w:val="auto"/>
                      <w:sz w:val="14"/>
                      <w:szCs w:val="22"/>
                      <w:lang w:val="en-GB" w:eastAsia="en-GB"/>
                    </w:rPr>
                    <w:t>1 Not applicable as these are private market assets and not publicly traded</w:t>
                  </w:r>
                  <w:r w:rsidR="00B1722C" w:rsidRPr="00FA7798">
                    <w:rPr>
                      <w:rFonts w:ascii="Arial" w:hAnsi="Arial" w:cs="Arial"/>
                      <w:i/>
                      <w:color w:val="auto"/>
                      <w:sz w:val="14"/>
                      <w:szCs w:val="22"/>
                      <w:lang w:val="en-GB" w:eastAsia="en-GB"/>
                    </w:rPr>
                    <w:t>.</w:t>
                  </w:r>
                </w:p>
                <w:p w14:paraId="460AEC36" w14:textId="7AEE24A1" w:rsidR="00FB6233" w:rsidRPr="00FA7798" w:rsidRDefault="00FB6233" w:rsidP="00D05944">
                  <w:pPr>
                    <w:spacing w:after="0"/>
                    <w:rPr>
                      <w:rFonts w:ascii="Arial" w:hAnsi="Arial" w:cs="Arial"/>
                      <w:i/>
                      <w:color w:val="auto"/>
                      <w:sz w:val="14"/>
                      <w:szCs w:val="22"/>
                      <w:lang w:val="en-GB" w:eastAsia="en-GB"/>
                    </w:rPr>
                  </w:pPr>
                  <w:r w:rsidRPr="00FA7798">
                    <w:rPr>
                      <w:rFonts w:ascii="Arial" w:hAnsi="Arial" w:cs="Arial"/>
                      <w:i/>
                      <w:color w:val="auto"/>
                      <w:sz w:val="14"/>
                      <w:szCs w:val="22"/>
                      <w:lang w:val="en-GB" w:eastAsia="en-GB"/>
                    </w:rPr>
                    <w:t>2 Includes LDI, Credit and Liquidity Funds.</w:t>
                  </w:r>
                </w:p>
              </w:tc>
            </w:tr>
          </w:tbl>
          <w:p w14:paraId="3CD28D85" w14:textId="3BE9A185" w:rsidR="00B8524B" w:rsidRPr="00FA7798" w:rsidRDefault="00B8524B" w:rsidP="003B01F8">
            <w:pPr>
              <w:rPr>
                <w:rFonts w:ascii="Arial" w:hAnsi="Arial" w:cs="Arial"/>
                <w:color w:val="auto"/>
              </w:rPr>
            </w:pPr>
          </w:p>
        </w:tc>
      </w:tr>
    </w:tbl>
    <w:p w14:paraId="365A112D" w14:textId="77777777" w:rsidR="00C9594C" w:rsidRPr="00977215" w:rsidRDefault="00C9594C" w:rsidP="003D41F8">
      <w:pPr>
        <w:jc w:val="both"/>
        <w:rPr>
          <w:rFonts w:ascii="Arial" w:hAnsi="Arial" w:cs="Arial"/>
          <w:color w:val="auto"/>
        </w:rPr>
        <w:sectPr w:rsidR="00C9594C" w:rsidRPr="00977215" w:rsidSect="003D41F8">
          <w:pgSz w:w="16839" w:h="11907" w:orient="landscape"/>
          <w:pgMar w:top="1440" w:right="1440" w:bottom="1440" w:left="1440" w:header="850" w:footer="737" w:gutter="0"/>
          <w:cols w:space="720"/>
          <w:docGrid w:linePitch="299"/>
        </w:sectPr>
      </w:pPr>
    </w:p>
    <w:p w14:paraId="06ADFE68" w14:textId="384627F6" w:rsidR="00913A59" w:rsidRPr="00977215" w:rsidRDefault="00913A59" w:rsidP="003D41F8">
      <w:pPr>
        <w:jc w:val="both"/>
        <w:rPr>
          <w:rFonts w:ascii="Arial" w:hAnsi="Arial" w:cs="Arial"/>
          <w:b/>
          <w:color w:val="auto"/>
          <w:u w:val="single"/>
        </w:rPr>
      </w:pPr>
      <w:r w:rsidRPr="00977215">
        <w:rPr>
          <w:rFonts w:ascii="Arial" w:hAnsi="Arial" w:cs="Arial"/>
          <w:b/>
          <w:color w:val="auto"/>
          <w:u w:val="single"/>
        </w:rPr>
        <w:lastRenderedPageBreak/>
        <w:t>Assessment of stewardship and engagement activity for the year to 31 March 202</w:t>
      </w:r>
      <w:r w:rsidR="00FA7798">
        <w:rPr>
          <w:rFonts w:ascii="Arial" w:hAnsi="Arial" w:cs="Arial"/>
          <w:b/>
          <w:color w:val="auto"/>
          <w:u w:val="single"/>
        </w:rPr>
        <w:t>5</w:t>
      </w:r>
    </w:p>
    <w:p w14:paraId="6E4A029F" w14:textId="6D8F77B8" w:rsidR="003D41F8" w:rsidRPr="00977215" w:rsidRDefault="00913A59" w:rsidP="00701B33">
      <w:pPr>
        <w:jc w:val="both"/>
        <w:rPr>
          <w:rFonts w:ascii="Arial" w:hAnsi="Arial" w:cs="Arial"/>
          <w:color w:val="auto"/>
        </w:rPr>
      </w:pPr>
      <w:r w:rsidRPr="00977215">
        <w:rPr>
          <w:rFonts w:ascii="Arial" w:hAnsi="Arial" w:cs="Arial"/>
          <w:color w:val="auto"/>
        </w:rPr>
        <w:t xml:space="preserve">The following section </w:t>
      </w:r>
      <w:proofErr w:type="spellStart"/>
      <w:r w:rsidRPr="00977215">
        <w:rPr>
          <w:rFonts w:ascii="Arial" w:hAnsi="Arial" w:cs="Arial"/>
          <w:color w:val="auto"/>
        </w:rPr>
        <w:t>summarises</w:t>
      </w:r>
      <w:proofErr w:type="spellEnd"/>
      <w:r w:rsidRPr="00977215">
        <w:rPr>
          <w:rFonts w:ascii="Arial" w:hAnsi="Arial" w:cs="Arial"/>
          <w:color w:val="auto"/>
        </w:rPr>
        <w:t xml:space="preserve"> the information reported by the Scheme’s investment managers to the Trustee in respect of their stewardship and engagement activities during the year. Engagement activity is provided at a firm-wide level.</w:t>
      </w:r>
    </w:p>
    <w:p w14:paraId="611FF6CB" w14:textId="719AEC80" w:rsidR="008206D0" w:rsidRPr="00977215" w:rsidRDefault="002A65F6" w:rsidP="00701B33">
      <w:pPr>
        <w:jc w:val="both"/>
        <w:rPr>
          <w:rFonts w:ascii="Arial" w:hAnsi="Arial" w:cs="Arial"/>
          <w:color w:val="auto"/>
          <w:szCs w:val="22"/>
        </w:rPr>
      </w:pPr>
      <w:r>
        <w:rPr>
          <w:rFonts w:ascii="Arial" w:hAnsi="Arial" w:cs="Arial"/>
          <w:color w:val="auto"/>
        </w:rPr>
        <w:t xml:space="preserve">During </w:t>
      </w:r>
      <w:r w:rsidR="00044423">
        <w:rPr>
          <w:rFonts w:ascii="Arial" w:hAnsi="Arial" w:cs="Arial"/>
          <w:color w:val="auto"/>
        </w:rPr>
        <w:t>the Scheme year to 31 March 202</w:t>
      </w:r>
      <w:r w:rsidR="00FA7798">
        <w:rPr>
          <w:rFonts w:ascii="Arial" w:hAnsi="Arial" w:cs="Arial"/>
          <w:color w:val="auto"/>
        </w:rPr>
        <w:t>5</w:t>
      </w:r>
      <w:r w:rsidR="008206D0" w:rsidRPr="00977215">
        <w:rPr>
          <w:rFonts w:ascii="Arial" w:hAnsi="Arial" w:cs="Arial"/>
          <w:color w:val="auto"/>
        </w:rPr>
        <w:t xml:space="preserve">, no </w:t>
      </w:r>
      <w:r>
        <w:rPr>
          <w:rFonts w:ascii="Arial" w:hAnsi="Arial" w:cs="Arial"/>
          <w:color w:val="auto"/>
        </w:rPr>
        <w:t xml:space="preserve">equity </w:t>
      </w:r>
      <w:r w:rsidR="008206D0" w:rsidRPr="00977215">
        <w:rPr>
          <w:rFonts w:ascii="Arial" w:hAnsi="Arial" w:cs="Arial"/>
          <w:color w:val="auto"/>
        </w:rPr>
        <w:t xml:space="preserve">investments </w:t>
      </w:r>
      <w:r>
        <w:rPr>
          <w:rFonts w:ascii="Arial" w:hAnsi="Arial" w:cs="Arial"/>
          <w:color w:val="auto"/>
        </w:rPr>
        <w:t xml:space="preserve">were </w:t>
      </w:r>
      <w:proofErr w:type="gramStart"/>
      <w:r>
        <w:rPr>
          <w:rFonts w:ascii="Arial" w:hAnsi="Arial" w:cs="Arial"/>
          <w:color w:val="auto"/>
        </w:rPr>
        <w:t>held</w:t>
      </w:r>
      <w:proofErr w:type="gramEnd"/>
      <w:r>
        <w:rPr>
          <w:rFonts w:ascii="Arial" w:hAnsi="Arial" w:cs="Arial"/>
          <w:color w:val="auto"/>
        </w:rPr>
        <w:t xml:space="preserve"> </w:t>
      </w:r>
      <w:r w:rsidR="00044423">
        <w:rPr>
          <w:rFonts w:ascii="Arial" w:hAnsi="Arial" w:cs="Arial"/>
          <w:color w:val="auto"/>
        </w:rPr>
        <w:t>and therefore no voting information is displayed below</w:t>
      </w:r>
      <w:r w:rsidR="008206D0" w:rsidRPr="00977215">
        <w:rPr>
          <w:rFonts w:ascii="Arial" w:hAnsi="Arial" w:cs="Arial"/>
          <w:color w:val="auto"/>
        </w:rPr>
        <w:t xml:space="preserve">. </w:t>
      </w:r>
    </w:p>
    <w:p w14:paraId="279D258E" w14:textId="429F248D" w:rsidR="00621DBA" w:rsidRPr="00977215" w:rsidRDefault="00621DBA" w:rsidP="003D41F8">
      <w:pPr>
        <w:spacing w:line="259" w:lineRule="auto"/>
        <w:jc w:val="both"/>
        <w:rPr>
          <w:rFonts w:ascii="Arial" w:hAnsi="Arial" w:cs="Arial"/>
          <w:b/>
          <w:color w:val="auto"/>
          <w:u w:val="single"/>
        </w:rPr>
      </w:pPr>
      <w:r w:rsidRPr="00977215">
        <w:rPr>
          <w:rFonts w:ascii="Arial" w:hAnsi="Arial" w:cs="Arial"/>
          <w:b/>
          <w:color w:val="auto"/>
          <w:u w:val="single"/>
        </w:rPr>
        <w:t>Engagement</w:t>
      </w:r>
    </w:p>
    <w:p w14:paraId="6C59AE77" w14:textId="6AB09DFD" w:rsidR="00F91F3B" w:rsidRPr="006C109D" w:rsidRDefault="00420A9F" w:rsidP="003D41F8">
      <w:pPr>
        <w:jc w:val="both"/>
        <w:rPr>
          <w:rFonts w:ascii="Arial" w:hAnsi="Arial" w:cs="Arial"/>
          <w:color w:val="auto"/>
        </w:rPr>
      </w:pPr>
      <w:r w:rsidRPr="00977215">
        <w:rPr>
          <w:rFonts w:ascii="Arial" w:hAnsi="Arial" w:cs="Arial"/>
          <w:color w:val="auto"/>
        </w:rPr>
        <w:t xml:space="preserve">The Trustee </w:t>
      </w:r>
      <w:r w:rsidR="00D84B0A" w:rsidRPr="00977215">
        <w:rPr>
          <w:rFonts w:ascii="Arial" w:hAnsi="Arial" w:cs="Arial"/>
          <w:color w:val="auto"/>
        </w:rPr>
        <w:t>encourage</w:t>
      </w:r>
      <w:r w:rsidR="00A23696" w:rsidRPr="00977215">
        <w:rPr>
          <w:rFonts w:ascii="Arial" w:hAnsi="Arial" w:cs="Arial"/>
          <w:color w:val="auto"/>
        </w:rPr>
        <w:t>s</w:t>
      </w:r>
      <w:r w:rsidR="00D84B0A" w:rsidRPr="00977215">
        <w:rPr>
          <w:rFonts w:ascii="Arial" w:hAnsi="Arial" w:cs="Arial"/>
          <w:color w:val="auto"/>
        </w:rPr>
        <w:t xml:space="preserve"> investment managers </w:t>
      </w:r>
      <w:r w:rsidR="00DC792B" w:rsidRPr="00977215">
        <w:rPr>
          <w:rFonts w:ascii="Arial" w:hAnsi="Arial" w:cs="Arial"/>
          <w:color w:val="auto"/>
          <w:szCs w:val="22"/>
        </w:rPr>
        <w:t xml:space="preserve">to undertake engagement activities on relevant matters including ESG factors (including climate change considerations) and to </w:t>
      </w:r>
      <w:r w:rsidR="00DC792B" w:rsidRPr="00977215">
        <w:rPr>
          <w:rFonts w:ascii="Arial" w:hAnsi="Arial" w:cs="Arial"/>
          <w:color w:val="auto"/>
        </w:rPr>
        <w:t>exercise stewardship obligations attached to the investments, in accordance with their own corporate governance policies and current best practice, including the UK Corporate Governance Code and UK Stewardship Code.</w:t>
      </w:r>
    </w:p>
    <w:p w14:paraId="76C2131E" w14:textId="7E635F92" w:rsidR="007847C6" w:rsidRPr="00977215" w:rsidRDefault="00B1787C" w:rsidP="003D41F8">
      <w:pPr>
        <w:tabs>
          <w:tab w:val="left" w:pos="4962"/>
        </w:tabs>
        <w:spacing w:after="160" w:line="259" w:lineRule="auto"/>
        <w:jc w:val="both"/>
        <w:rPr>
          <w:rFonts w:ascii="Arial" w:hAnsi="Arial" w:cs="Arial"/>
          <w:color w:val="auto"/>
          <w:szCs w:val="22"/>
        </w:rPr>
      </w:pPr>
      <w:r>
        <w:rPr>
          <w:rFonts w:ascii="Arial" w:hAnsi="Arial" w:cs="Arial"/>
          <w:color w:val="auto"/>
          <w:szCs w:val="22"/>
        </w:rPr>
        <w:t xml:space="preserve">A summary </w:t>
      </w:r>
      <w:r w:rsidR="007847C6" w:rsidRPr="00977215">
        <w:rPr>
          <w:rFonts w:ascii="Arial" w:hAnsi="Arial" w:cs="Arial"/>
          <w:color w:val="auto"/>
          <w:szCs w:val="22"/>
        </w:rPr>
        <w:t xml:space="preserve">of </w:t>
      </w:r>
      <w:r>
        <w:rPr>
          <w:rFonts w:ascii="Arial" w:hAnsi="Arial" w:cs="Arial"/>
          <w:color w:val="auto"/>
          <w:szCs w:val="22"/>
        </w:rPr>
        <w:t xml:space="preserve">the investment managers’ approach to engagement activity is outlined </w:t>
      </w:r>
      <w:r w:rsidR="007847C6" w:rsidRPr="00977215">
        <w:rPr>
          <w:rFonts w:ascii="Arial" w:hAnsi="Arial" w:cs="Arial"/>
          <w:color w:val="auto"/>
          <w:szCs w:val="22"/>
        </w:rPr>
        <w:t>below</w:t>
      </w:r>
      <w:r w:rsidR="00356C05" w:rsidRPr="00977215">
        <w:rPr>
          <w:rFonts w:ascii="Arial" w:hAnsi="Arial" w:cs="Arial"/>
          <w:color w:val="auto"/>
          <w:szCs w:val="22"/>
        </w:rPr>
        <w:t>:</w:t>
      </w:r>
    </w:p>
    <w:p w14:paraId="271E08F8" w14:textId="2C5284D4" w:rsidR="00DF262F" w:rsidRPr="002261C2" w:rsidRDefault="00F62822" w:rsidP="00E602C8">
      <w:pPr>
        <w:pStyle w:val="ListParagraph"/>
        <w:numPr>
          <w:ilvl w:val="0"/>
          <w:numId w:val="27"/>
        </w:numPr>
        <w:tabs>
          <w:tab w:val="left" w:pos="4962"/>
        </w:tabs>
        <w:spacing w:after="120" w:line="259" w:lineRule="auto"/>
        <w:ind w:left="714" w:hanging="357"/>
        <w:contextualSpacing w:val="0"/>
        <w:jc w:val="both"/>
        <w:rPr>
          <w:rFonts w:ascii="Arial" w:hAnsi="Arial" w:cs="Arial"/>
          <w:color w:val="auto"/>
          <w:szCs w:val="22"/>
        </w:rPr>
      </w:pPr>
      <w:r w:rsidRPr="002261C2">
        <w:rPr>
          <w:rFonts w:ascii="Arial" w:hAnsi="Arial" w:cs="Arial"/>
          <w:b/>
          <w:color w:val="auto"/>
          <w:szCs w:val="22"/>
        </w:rPr>
        <w:t>Apollo</w:t>
      </w:r>
      <w:r w:rsidR="003D41F8" w:rsidRPr="002261C2">
        <w:rPr>
          <w:rFonts w:ascii="Arial" w:hAnsi="Arial" w:cs="Arial"/>
          <w:color w:val="auto"/>
          <w:szCs w:val="22"/>
        </w:rPr>
        <w:t xml:space="preserve"> </w:t>
      </w:r>
      <w:r w:rsidR="002261C2" w:rsidRPr="002261C2">
        <w:rPr>
          <w:rFonts w:ascii="Arial" w:hAnsi="Arial" w:cs="Arial"/>
          <w:color w:val="auto"/>
          <w:szCs w:val="22"/>
        </w:rPr>
        <w:t xml:space="preserve">became a signatory to the UK Stewardship Code on </w:t>
      </w:r>
      <w:r w:rsidR="00F627EE">
        <w:rPr>
          <w:rFonts w:ascii="Arial" w:hAnsi="Arial" w:cs="Arial"/>
          <w:color w:val="auto"/>
          <w:szCs w:val="22"/>
        </w:rPr>
        <w:t xml:space="preserve">11 </w:t>
      </w:r>
      <w:r w:rsidR="002261C2" w:rsidRPr="002261C2">
        <w:rPr>
          <w:rFonts w:ascii="Arial" w:hAnsi="Arial" w:cs="Arial"/>
          <w:color w:val="auto"/>
          <w:szCs w:val="22"/>
        </w:rPr>
        <w:t>February 2025</w:t>
      </w:r>
      <w:r w:rsidR="00E403F2" w:rsidRPr="002261C2">
        <w:rPr>
          <w:rFonts w:ascii="Arial" w:hAnsi="Arial" w:cs="Arial"/>
          <w:color w:val="auto"/>
          <w:szCs w:val="22"/>
        </w:rPr>
        <w:t xml:space="preserve">. </w:t>
      </w:r>
      <w:r w:rsidR="00A23696" w:rsidRPr="002261C2">
        <w:rPr>
          <w:rFonts w:ascii="Arial" w:hAnsi="Arial" w:cs="Arial"/>
          <w:color w:val="auto"/>
          <w:szCs w:val="22"/>
        </w:rPr>
        <w:t>It is</w:t>
      </w:r>
      <w:r w:rsidR="00E403F2" w:rsidRPr="002261C2">
        <w:rPr>
          <w:rFonts w:ascii="Arial" w:hAnsi="Arial" w:cs="Arial"/>
          <w:color w:val="auto"/>
          <w:szCs w:val="22"/>
        </w:rPr>
        <w:t xml:space="preserve"> </w:t>
      </w:r>
      <w:r w:rsidRPr="002261C2">
        <w:rPr>
          <w:rFonts w:ascii="Arial" w:hAnsi="Arial" w:cs="Arial"/>
          <w:color w:val="auto"/>
          <w:szCs w:val="22"/>
        </w:rPr>
        <w:t xml:space="preserve">a signatory to </w:t>
      </w:r>
      <w:r w:rsidR="00A018EA" w:rsidRPr="002261C2">
        <w:rPr>
          <w:rFonts w:ascii="Arial" w:hAnsi="Arial" w:cs="Arial"/>
          <w:color w:val="auto"/>
          <w:szCs w:val="22"/>
        </w:rPr>
        <w:t xml:space="preserve">the </w:t>
      </w:r>
      <w:r w:rsidRPr="002261C2">
        <w:rPr>
          <w:rFonts w:ascii="Arial" w:hAnsi="Arial" w:cs="Arial"/>
          <w:color w:val="auto"/>
          <w:szCs w:val="22"/>
        </w:rPr>
        <w:t xml:space="preserve">UNPRI (United Nations Principles for Responsible Investment) and the IFC Operating Principles for Impact Management. </w:t>
      </w:r>
      <w:r w:rsidR="002261C2" w:rsidRPr="002261C2">
        <w:rPr>
          <w:rFonts w:ascii="Arial" w:hAnsi="Arial" w:cs="Arial"/>
          <w:color w:val="auto"/>
          <w:szCs w:val="22"/>
        </w:rPr>
        <w:t>Apollo believes engaging with companies/issuers can be an integral part of the investment process and that investors can play a meaningful role in encouraging positive changes in company/issuer disclosure, behavior, and decision-making that can positively impact the financial value of an investment. Apollo’s Sustainable Credit &amp; Platforms Team and/or investment teams engage with companies/issuers across four pillars: Transparency and Disclosure, Financing the Energy Transition, Theme-Driven, and Company-Specific.</w:t>
      </w:r>
    </w:p>
    <w:p w14:paraId="4B3817A4" w14:textId="74BE709C" w:rsidR="00D42C2E" w:rsidRPr="008937F1" w:rsidRDefault="00D42C2E" w:rsidP="00E602C8">
      <w:pPr>
        <w:pStyle w:val="ListParagraph"/>
        <w:numPr>
          <w:ilvl w:val="0"/>
          <w:numId w:val="27"/>
        </w:numPr>
        <w:tabs>
          <w:tab w:val="left" w:pos="4962"/>
        </w:tabs>
        <w:spacing w:after="120" w:line="259" w:lineRule="auto"/>
        <w:ind w:left="714" w:hanging="357"/>
        <w:contextualSpacing w:val="0"/>
        <w:jc w:val="both"/>
        <w:rPr>
          <w:rFonts w:ascii="Arial" w:hAnsi="Arial" w:cs="Arial"/>
          <w:color w:val="auto"/>
          <w:szCs w:val="22"/>
        </w:rPr>
      </w:pPr>
      <w:r w:rsidRPr="008937F1">
        <w:rPr>
          <w:rFonts w:ascii="Arial" w:hAnsi="Arial" w:cs="Arial"/>
          <w:b/>
          <w:color w:val="auto"/>
          <w:szCs w:val="22"/>
        </w:rPr>
        <w:t>Insight</w:t>
      </w:r>
      <w:r w:rsidRPr="008937F1">
        <w:rPr>
          <w:rFonts w:ascii="Arial" w:hAnsi="Arial" w:cs="Arial"/>
          <w:color w:val="auto"/>
          <w:szCs w:val="22"/>
        </w:rPr>
        <w:t xml:space="preserve"> </w:t>
      </w:r>
      <w:r w:rsidR="00A018EA" w:rsidRPr="008937F1">
        <w:rPr>
          <w:rFonts w:ascii="Arial" w:hAnsi="Arial" w:cs="Arial"/>
          <w:color w:val="auto"/>
          <w:szCs w:val="22"/>
        </w:rPr>
        <w:t>is</w:t>
      </w:r>
      <w:r w:rsidR="00C658E7" w:rsidRPr="008937F1">
        <w:rPr>
          <w:rFonts w:ascii="Arial" w:hAnsi="Arial" w:cs="Arial"/>
          <w:color w:val="auto"/>
          <w:szCs w:val="22"/>
        </w:rPr>
        <w:t xml:space="preserve"> current</w:t>
      </w:r>
      <w:r w:rsidR="00A018EA" w:rsidRPr="008937F1">
        <w:rPr>
          <w:rFonts w:ascii="Arial" w:hAnsi="Arial" w:cs="Arial"/>
          <w:color w:val="auto"/>
          <w:szCs w:val="22"/>
        </w:rPr>
        <w:t>ly</w:t>
      </w:r>
      <w:r w:rsidR="00C658E7" w:rsidRPr="008937F1">
        <w:rPr>
          <w:rFonts w:ascii="Arial" w:hAnsi="Arial" w:cs="Arial"/>
          <w:color w:val="auto"/>
          <w:szCs w:val="22"/>
        </w:rPr>
        <w:t xml:space="preserve"> </w:t>
      </w:r>
      <w:r w:rsidRPr="008937F1">
        <w:rPr>
          <w:rFonts w:ascii="Arial" w:hAnsi="Arial" w:cs="Arial"/>
          <w:color w:val="auto"/>
          <w:szCs w:val="22"/>
        </w:rPr>
        <w:t xml:space="preserve">engaged with the </w:t>
      </w:r>
      <w:proofErr w:type="gramStart"/>
      <w:r w:rsidRPr="008937F1">
        <w:rPr>
          <w:rFonts w:ascii="Arial" w:hAnsi="Arial" w:cs="Arial"/>
          <w:color w:val="auto"/>
          <w:szCs w:val="22"/>
        </w:rPr>
        <w:t>issuers</w:t>
      </w:r>
      <w:proofErr w:type="gramEnd"/>
      <w:r w:rsidRPr="008937F1">
        <w:rPr>
          <w:rFonts w:ascii="Arial" w:hAnsi="Arial" w:cs="Arial"/>
          <w:color w:val="auto"/>
          <w:szCs w:val="22"/>
        </w:rPr>
        <w:t xml:space="preserve"> of the portfolio positions held during the </w:t>
      </w:r>
      <w:proofErr w:type="gramStart"/>
      <w:r w:rsidRPr="008937F1">
        <w:rPr>
          <w:rFonts w:ascii="Arial" w:hAnsi="Arial" w:cs="Arial"/>
          <w:color w:val="auto"/>
          <w:szCs w:val="22"/>
        </w:rPr>
        <w:t>12 month</w:t>
      </w:r>
      <w:proofErr w:type="gramEnd"/>
      <w:r w:rsidRPr="008937F1">
        <w:rPr>
          <w:rFonts w:ascii="Arial" w:hAnsi="Arial" w:cs="Arial"/>
          <w:color w:val="auto"/>
          <w:szCs w:val="22"/>
        </w:rPr>
        <w:t xml:space="preserve"> period to the end of December 20</w:t>
      </w:r>
      <w:r w:rsidR="00B4251F" w:rsidRPr="008937F1">
        <w:rPr>
          <w:rFonts w:ascii="Arial" w:hAnsi="Arial" w:cs="Arial"/>
          <w:color w:val="auto"/>
          <w:szCs w:val="22"/>
        </w:rPr>
        <w:t>2</w:t>
      </w:r>
      <w:r w:rsidR="003A1731" w:rsidRPr="008937F1">
        <w:rPr>
          <w:rFonts w:ascii="Arial" w:hAnsi="Arial" w:cs="Arial"/>
          <w:color w:val="auto"/>
          <w:szCs w:val="22"/>
        </w:rPr>
        <w:t>4</w:t>
      </w:r>
      <w:r w:rsidRPr="008937F1">
        <w:rPr>
          <w:rFonts w:ascii="Arial" w:hAnsi="Arial" w:cs="Arial"/>
          <w:color w:val="auto"/>
          <w:szCs w:val="22"/>
        </w:rPr>
        <w:t xml:space="preserve">. Issues covered on engagement </w:t>
      </w:r>
      <w:r w:rsidR="00A018EA" w:rsidRPr="008937F1">
        <w:rPr>
          <w:rFonts w:ascii="Arial" w:hAnsi="Arial" w:cs="Arial"/>
          <w:color w:val="auto"/>
          <w:szCs w:val="22"/>
        </w:rPr>
        <w:t xml:space="preserve">have </w:t>
      </w:r>
      <w:r w:rsidRPr="008937F1">
        <w:rPr>
          <w:rFonts w:ascii="Arial" w:hAnsi="Arial" w:cs="Arial"/>
          <w:color w:val="auto"/>
          <w:szCs w:val="22"/>
        </w:rPr>
        <w:t xml:space="preserve">included </w:t>
      </w:r>
      <w:r w:rsidR="006527FB" w:rsidRPr="008937F1">
        <w:rPr>
          <w:rFonts w:ascii="Arial" w:hAnsi="Arial" w:cs="Arial"/>
          <w:color w:val="auto"/>
          <w:szCs w:val="22"/>
        </w:rPr>
        <w:t>ESG</w:t>
      </w:r>
      <w:r w:rsidR="00E403F2" w:rsidRPr="008937F1">
        <w:rPr>
          <w:rFonts w:ascii="Arial" w:hAnsi="Arial" w:cs="Arial"/>
          <w:color w:val="auto"/>
          <w:szCs w:val="22"/>
        </w:rPr>
        <w:t xml:space="preserve"> issues</w:t>
      </w:r>
      <w:r w:rsidR="00094558" w:rsidRPr="008937F1">
        <w:rPr>
          <w:rFonts w:ascii="Arial" w:hAnsi="Arial" w:cs="Arial"/>
          <w:color w:val="auto"/>
          <w:szCs w:val="22"/>
        </w:rPr>
        <w:t xml:space="preserve"> </w:t>
      </w:r>
      <w:r w:rsidR="00EB72C8" w:rsidRPr="008937F1">
        <w:rPr>
          <w:rFonts w:ascii="Arial" w:hAnsi="Arial" w:cs="Arial"/>
          <w:color w:val="auto"/>
          <w:szCs w:val="22"/>
        </w:rPr>
        <w:t xml:space="preserve">that are a fundamental part of their engagement activity. </w:t>
      </w:r>
    </w:p>
    <w:p w14:paraId="308043DE" w14:textId="48F30855" w:rsidR="000401D8" w:rsidRPr="008937F1" w:rsidRDefault="000401D8" w:rsidP="00E602C8">
      <w:pPr>
        <w:pStyle w:val="ListParagraph"/>
        <w:numPr>
          <w:ilvl w:val="0"/>
          <w:numId w:val="27"/>
        </w:numPr>
        <w:tabs>
          <w:tab w:val="left" w:pos="4962"/>
        </w:tabs>
        <w:spacing w:after="120" w:line="259" w:lineRule="auto"/>
        <w:ind w:left="714" w:hanging="357"/>
        <w:contextualSpacing w:val="0"/>
        <w:jc w:val="both"/>
        <w:rPr>
          <w:rFonts w:ascii="Arial" w:hAnsi="Arial" w:cs="Arial"/>
          <w:color w:val="auto"/>
          <w:szCs w:val="22"/>
        </w:rPr>
      </w:pPr>
      <w:r w:rsidRPr="008937F1">
        <w:rPr>
          <w:rFonts w:ascii="Arial" w:hAnsi="Arial" w:cs="Arial"/>
          <w:b/>
          <w:color w:val="auto"/>
          <w:szCs w:val="22"/>
        </w:rPr>
        <w:t>Mercer Global Investments</w:t>
      </w:r>
      <w:r w:rsidRPr="008937F1">
        <w:rPr>
          <w:rFonts w:ascii="Arial" w:hAnsi="Arial" w:cs="Arial"/>
          <w:color w:val="auto"/>
          <w:szCs w:val="22"/>
        </w:rPr>
        <w:t xml:space="preserve"> is a current signatory of the UK Stewardship Code. </w:t>
      </w:r>
      <w:proofErr w:type="gramStart"/>
      <w:r w:rsidRPr="008937F1">
        <w:rPr>
          <w:rFonts w:ascii="Arial" w:hAnsi="Arial" w:cs="Arial"/>
          <w:color w:val="auto"/>
          <w:szCs w:val="22"/>
        </w:rPr>
        <w:t>In regards to</w:t>
      </w:r>
      <w:proofErr w:type="gramEnd"/>
      <w:r w:rsidRPr="008937F1">
        <w:rPr>
          <w:rFonts w:ascii="Arial" w:hAnsi="Arial" w:cs="Arial"/>
          <w:color w:val="auto"/>
          <w:szCs w:val="22"/>
        </w:rPr>
        <w:t xml:space="preserve"> the Scheme’s PIP holdings, as Mercer invests in a portfolio of funds rather than directly in the underlying investments, it does not engage directly with the corporate management teams of the underlying holdings within the fund. As part of Mercer’s selection process, it reviews each investment manager’s approach to ESG and engagement, including assessing the resources that each manager dedicates to this area.  Furthermore, in line with its sustainability policy for private markets, which came into effect over 2021, it is increasing its focus on its underlying managers’ ESG activities within its monitoring processes, including encouraging each manager to comprehensively report on its engagement activities.</w:t>
      </w:r>
    </w:p>
    <w:p w14:paraId="3D13D901" w14:textId="54B2ADFF" w:rsidR="008D2F4B" w:rsidRPr="00E960A9" w:rsidRDefault="00C658E7" w:rsidP="000401D8">
      <w:pPr>
        <w:pStyle w:val="ListParagraph"/>
        <w:numPr>
          <w:ilvl w:val="0"/>
          <w:numId w:val="27"/>
        </w:numPr>
        <w:tabs>
          <w:tab w:val="left" w:pos="4962"/>
        </w:tabs>
        <w:spacing w:after="120" w:line="259" w:lineRule="auto"/>
        <w:ind w:left="714" w:hanging="357"/>
        <w:contextualSpacing w:val="0"/>
        <w:jc w:val="both"/>
        <w:rPr>
          <w:color w:val="auto"/>
        </w:rPr>
      </w:pPr>
      <w:r w:rsidRPr="00E960A9">
        <w:rPr>
          <w:rFonts w:ascii="Arial" w:hAnsi="Arial" w:cs="Arial"/>
          <w:b/>
          <w:color w:val="auto"/>
          <w:szCs w:val="22"/>
        </w:rPr>
        <w:lastRenderedPageBreak/>
        <w:t>M</w:t>
      </w:r>
      <w:r w:rsidR="000401D8" w:rsidRPr="00E960A9">
        <w:rPr>
          <w:rFonts w:ascii="Arial" w:hAnsi="Arial" w:cs="Arial"/>
          <w:b/>
          <w:color w:val="auto"/>
          <w:szCs w:val="22"/>
        </w:rPr>
        <w:t>&amp;G</w:t>
      </w:r>
      <w:r w:rsidR="00356C05" w:rsidRPr="00E960A9">
        <w:rPr>
          <w:rFonts w:ascii="Arial" w:hAnsi="Arial" w:cs="Arial"/>
          <w:b/>
          <w:color w:val="auto"/>
          <w:szCs w:val="22"/>
        </w:rPr>
        <w:t xml:space="preserve"> </w:t>
      </w:r>
      <w:r w:rsidR="000401D8" w:rsidRPr="00E960A9">
        <w:rPr>
          <w:rFonts w:ascii="Arial" w:hAnsi="Arial" w:cs="Arial"/>
          <w:bCs/>
          <w:color w:val="auto"/>
          <w:szCs w:val="22"/>
        </w:rPr>
        <w:t>is a current signatory to the UK Stewardship code. Over the year, they engaged with companies on a wide range of ESG issues. They believe that the long-term success of companies is supported by effective investor stewardship and high standards of corporate governance. They believe that if a company is run well, and sustainably, it is more likely to be successful in the long run.</w:t>
      </w:r>
    </w:p>
    <w:sectPr w:rsidR="008D2F4B" w:rsidRPr="00E960A9" w:rsidSect="00382ABC">
      <w:pgSz w:w="16839" w:h="11907" w:orient="landscape"/>
      <w:pgMar w:top="1440" w:right="1440" w:bottom="1440" w:left="1440" w:header="85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6494" w14:textId="77777777" w:rsidR="00D95ACD" w:rsidRDefault="00D95ACD">
      <w:r>
        <w:separator/>
      </w:r>
    </w:p>
  </w:endnote>
  <w:endnote w:type="continuationSeparator" w:id="0">
    <w:p w14:paraId="266DABF1" w14:textId="77777777" w:rsidR="00D95ACD" w:rsidRDefault="00D9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te">
    <w:altName w:val="Courier New"/>
    <w:panose1 w:val="00000800000000000000"/>
    <w:charset w:val="00"/>
    <w:family w:val="modern"/>
    <w:notTrueType/>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rifo S">
    <w:panose1 w:val="02050803090505060204"/>
    <w:charset w:val="00"/>
    <w:family w:val="roma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ute Italic">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Light">
    <w:panose1 w:val="00000000000000000000"/>
    <w:charset w:val="00"/>
    <w:family w:val="swiss"/>
    <w:notTrueType/>
    <w:pitch w:val="default"/>
    <w:sig w:usb0="00000003" w:usb1="00000000" w:usb2="00000000" w:usb3="00000000" w:csb0="00000001" w:csb1="00000000"/>
  </w:font>
  <w:font w:name="Robot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05A2" w14:textId="77777777" w:rsidR="00D95ACD" w:rsidRDefault="00D95ACD">
      <w:r>
        <w:separator/>
      </w:r>
    </w:p>
  </w:footnote>
  <w:footnote w:type="continuationSeparator" w:id="0">
    <w:p w14:paraId="4B2C9F8A" w14:textId="77777777" w:rsidR="00D95ACD" w:rsidRDefault="00D9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9F5E" w14:textId="4BC48BC3" w:rsidR="00D00F5C" w:rsidRDefault="00D00F5C" w:rsidP="00C473BD">
    <w:pPr>
      <w:pStyle w:val="Page2Heading"/>
    </w:pPr>
    <w:bookmarkStart w:id="0" w:name="MMC_Page"/>
    <w:r>
      <w:t>Page</w:t>
    </w:r>
    <w:bookmarkEnd w:id="0"/>
    <w:r>
      <w:t xml:space="preserve"> </w:t>
    </w:r>
    <w:r>
      <w:fldChar w:fldCharType="begin"/>
    </w:r>
    <w:r>
      <w:instrText xml:space="preserve"> PAGE </w:instrText>
    </w:r>
    <w:r>
      <w:fldChar w:fldCharType="separate"/>
    </w:r>
    <w:r w:rsidR="00B24990">
      <w:rPr>
        <w:noProof/>
      </w:rPr>
      <w:t>9</w:t>
    </w:r>
    <w:r>
      <w:fldChar w:fldCharType="end"/>
    </w:r>
  </w:p>
  <w:p w14:paraId="68244868" w14:textId="77777777" w:rsidR="00D00F5C" w:rsidRDefault="00D00F5C" w:rsidP="00C473BD">
    <w:pPr>
      <w:pStyle w:val="Page2Heading"/>
    </w:pPr>
  </w:p>
  <w:p w14:paraId="52FAB2BE" w14:textId="77777777" w:rsidR="00D00F5C" w:rsidRDefault="00D00F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0FE71F"/>
    <w:multiLevelType w:val="hybridMultilevel"/>
    <w:tmpl w:val="4D4039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DD02525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C36EF8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4850FE"/>
    <w:multiLevelType w:val="multilevel"/>
    <w:tmpl w:val="B1929E32"/>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rPr>
        <w:b w:val="0"/>
        <w:i w:val="0"/>
        <w:caps w:val="0"/>
        <w:smallCaps w:val="0"/>
        <w:vanish w:val="0"/>
        <w:u w:val="none"/>
      </w:rPr>
    </w:lvl>
    <w:lvl w:ilvl="6">
      <w:start w:val="1"/>
      <w:numFmt w:val="upperLetter"/>
      <w:pStyle w:val="ListNumber2"/>
      <w:lvlText w:val="%7."/>
      <w:lvlJc w:val="left"/>
      <w:pPr>
        <w:tabs>
          <w:tab w:val="num" w:pos="720"/>
        </w:tabs>
        <w:ind w:left="720" w:hanging="360"/>
      </w:pPr>
      <w:rPr>
        <w:b w:val="0"/>
        <w:i w:val="0"/>
        <w:caps w:val="0"/>
        <w:smallCaps w:val="0"/>
        <w:vanish w:val="0"/>
        <w:u w:val="none"/>
      </w:rPr>
    </w:lvl>
    <w:lvl w:ilvl="7">
      <w:start w:val="1"/>
      <w:numFmt w:val="lowerRoman"/>
      <w:pStyle w:val="ListNumber3"/>
      <w:lvlText w:val="%8."/>
      <w:lvlJc w:val="left"/>
      <w:pPr>
        <w:tabs>
          <w:tab w:val="num" w:pos="1080"/>
        </w:tabs>
        <w:ind w:left="1080" w:hanging="360"/>
      </w:pPr>
      <w:rPr>
        <w:b w:val="0"/>
        <w:i w:val="0"/>
        <w:caps w:val="0"/>
        <w:smallCaps w:val="0"/>
        <w:vanish w:val="0"/>
        <w:u w:val="none"/>
      </w:rPr>
    </w:lvl>
    <w:lvl w:ilvl="8">
      <w:start w:val="1"/>
      <w:numFmt w:val="lowerLetter"/>
      <w:pStyle w:val="ListNumber4"/>
      <w:lvlText w:val="%9."/>
      <w:lvlJc w:val="left"/>
      <w:pPr>
        <w:tabs>
          <w:tab w:val="num" w:pos="1440"/>
        </w:tabs>
        <w:ind w:left="1440" w:hanging="360"/>
      </w:pPr>
      <w:rPr>
        <w:b w:val="0"/>
        <w:i w:val="0"/>
        <w:caps w:val="0"/>
        <w:smallCaps w:val="0"/>
        <w:vanish w:val="0"/>
        <w:u w:val="none"/>
      </w:rPr>
    </w:lvl>
  </w:abstractNum>
  <w:abstractNum w:abstractNumId="4" w15:restartNumberingAfterBreak="0">
    <w:nsid w:val="0EDB2D2A"/>
    <w:multiLevelType w:val="hybridMultilevel"/>
    <w:tmpl w:val="0A9EB556"/>
    <w:lvl w:ilvl="0" w:tplc="98161EAC">
      <w:start w:val="3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1F6A2A"/>
    <w:multiLevelType w:val="multilevel"/>
    <w:tmpl w:val="CD607E24"/>
    <w:name w:val="Appendix"/>
    <w:lvl w:ilvl="0">
      <w:start w:val="1"/>
      <w:numFmt w:val="upperLetter"/>
      <w:lvlRestart w:val="0"/>
      <w:lvlText w:val="Appendix: %1."/>
      <w:lvlJc w:val="left"/>
      <w:pPr>
        <w:tabs>
          <w:tab w:val="num" w:pos="360"/>
        </w:tabs>
        <w:ind w:left="360" w:hanging="36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17184D"/>
    <w:multiLevelType w:val="hybridMultilevel"/>
    <w:tmpl w:val="F3DA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84C0F"/>
    <w:multiLevelType w:val="multilevel"/>
    <w:tmpl w:val="788035E4"/>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Table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Table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Table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8" w15:restartNumberingAfterBreak="0">
    <w:nsid w:val="1FE6645C"/>
    <w:multiLevelType w:val="hybridMultilevel"/>
    <w:tmpl w:val="F04AFC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567E1F"/>
    <w:multiLevelType w:val="hybridMultilevel"/>
    <w:tmpl w:val="92461B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1571A6B"/>
    <w:multiLevelType w:val="hybridMultilevel"/>
    <w:tmpl w:val="68D29FE2"/>
    <w:lvl w:ilvl="0" w:tplc="76C60B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710FD"/>
    <w:multiLevelType w:val="hybridMultilevel"/>
    <w:tmpl w:val="F0DC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57393"/>
    <w:multiLevelType w:val="multilevel"/>
    <w:tmpl w:val="7CDEBAE6"/>
    <w:lvl w:ilvl="0">
      <w:start w:val="1"/>
      <w:numFmt w:val="decimal"/>
      <w:pStyle w:val="OutlineNum"/>
      <w:lvlText w:val="%1."/>
      <w:lvlJc w:val="left"/>
      <w:pPr>
        <w:tabs>
          <w:tab w:val="num" w:pos="706"/>
        </w:tabs>
        <w:ind w:left="706" w:hanging="706"/>
      </w:pPr>
      <w:rPr>
        <w:rFonts w:ascii="Arial" w:hAnsi="Arial" w:hint="default"/>
        <w:b/>
        <w:i w:val="0"/>
        <w:sz w:val="22"/>
      </w:rPr>
    </w:lvl>
    <w:lvl w:ilvl="1">
      <w:start w:val="1"/>
      <w:numFmt w:val="decimal"/>
      <w:pStyle w:val="OutlineNum2"/>
      <w:lvlText w:val="%1.%2"/>
      <w:lvlJc w:val="left"/>
      <w:pPr>
        <w:tabs>
          <w:tab w:val="num" w:pos="706"/>
        </w:tabs>
        <w:ind w:left="706" w:hanging="706"/>
      </w:pPr>
    </w:lvl>
    <w:lvl w:ilvl="2">
      <w:start w:val="1"/>
      <w:numFmt w:val="decimal"/>
      <w:pStyle w:val="OutlineNum3"/>
      <w:lvlText w:val="%1.%2.%3"/>
      <w:lvlJc w:val="left"/>
      <w:pPr>
        <w:tabs>
          <w:tab w:val="num" w:pos="1080"/>
        </w:tabs>
        <w:ind w:left="706" w:hanging="706"/>
      </w:pPr>
    </w:lvl>
    <w:lvl w:ilvl="3">
      <w:start w:val="1"/>
      <w:numFmt w:val="none"/>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440956BC"/>
    <w:multiLevelType w:val="multilevel"/>
    <w:tmpl w:val="94C25756"/>
    <w:name w:val="SectionStart"/>
    <w:lvl w:ilvl="0">
      <w:start w:val="1"/>
      <w:numFmt w:val="decimal"/>
      <w:lvlRestart w:val="0"/>
      <w:lvlText w:val="%1"/>
      <w:lvlJc w:val="left"/>
      <w:pPr>
        <w:tabs>
          <w:tab w:val="num" w:pos="360"/>
        </w:tabs>
        <w:ind w:left="360" w:hanging="180"/>
      </w:pPr>
      <w:rPr>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94202D"/>
    <w:multiLevelType w:val="multilevel"/>
    <w:tmpl w:val="55169CAC"/>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5" w15:restartNumberingAfterBreak="0">
    <w:nsid w:val="46394107"/>
    <w:multiLevelType w:val="hybridMultilevel"/>
    <w:tmpl w:val="F04AFC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B5F1BCF"/>
    <w:multiLevelType w:val="multilevel"/>
    <w:tmpl w:val="03D8E0C4"/>
    <w:name w:val="SREP_HEAD1"/>
    <w:lvl w:ilvl="0">
      <w:start w:val="1"/>
      <w:numFmt w:val="decimal"/>
      <w:lvlRestart w:val="0"/>
      <w:lvlText w:val="%1."/>
      <w:lvlJc w:val="left"/>
      <w:pPr>
        <w:tabs>
          <w:tab w:val="num" w:pos="0"/>
        </w:tabs>
        <w:ind w:left="0" w:hanging="60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290609"/>
    <w:multiLevelType w:val="hybridMultilevel"/>
    <w:tmpl w:val="F04AFC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3B08FF"/>
    <w:multiLevelType w:val="multilevel"/>
    <w:tmpl w:val="D1600826"/>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rPr>
        <w:b w:val="0"/>
        <w:i w:val="0"/>
        <w:caps w:val="0"/>
        <w:smallCaps w:val="0"/>
        <w:vanish w:val="0"/>
        <w:u w:val="none"/>
      </w:rPr>
    </w:lvl>
    <w:lvl w:ilvl="5">
      <w:start w:val="1"/>
      <w:numFmt w:val="decimal"/>
      <w:pStyle w:val="HeadingNumber2"/>
      <w:lvlText w:val="%5.%6."/>
      <w:lvlJc w:val="left"/>
      <w:pPr>
        <w:tabs>
          <w:tab w:val="num" w:pos="840"/>
        </w:tabs>
        <w:ind w:left="840" w:hanging="840"/>
      </w:pPr>
      <w:rPr>
        <w:b w:val="0"/>
        <w:i w:val="0"/>
        <w:caps w:val="0"/>
        <w:smallCaps w:val="0"/>
        <w:vanish w:val="0"/>
        <w:u w:val="none"/>
      </w:rPr>
    </w:lvl>
    <w:lvl w:ilvl="6">
      <w:start w:val="1"/>
      <w:numFmt w:val="decimal"/>
      <w:pStyle w:val="HeadingNumber3"/>
      <w:lvlText w:val="%5.%6.%7."/>
      <w:lvlJc w:val="left"/>
      <w:pPr>
        <w:tabs>
          <w:tab w:val="num" w:pos="1080"/>
        </w:tabs>
        <w:ind w:left="1080" w:hanging="1080"/>
      </w:pPr>
      <w:rPr>
        <w:b w:val="0"/>
        <w:i w:val="0"/>
        <w:caps w:val="0"/>
        <w:smallCaps w:val="0"/>
        <w:vanish w:val="0"/>
        <w:u w:val="none"/>
      </w:rPr>
    </w:lvl>
    <w:lvl w:ilvl="7">
      <w:start w:val="1"/>
      <w:numFmt w:val="decimal"/>
      <w:pStyle w:val="HeadingNumber4"/>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19" w15:restartNumberingAfterBreak="0">
    <w:nsid w:val="652D4C3F"/>
    <w:multiLevelType w:val="multilevel"/>
    <w:tmpl w:val="E2D21B76"/>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20" w15:restartNumberingAfterBreak="0">
    <w:nsid w:val="68F07E92"/>
    <w:multiLevelType w:val="hybridMultilevel"/>
    <w:tmpl w:val="ED64D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F670C2"/>
    <w:multiLevelType w:val="multilevel"/>
    <w:tmpl w:val="62BE8E18"/>
    <w:lvl w:ilvl="0">
      <w:start w:val="1"/>
      <w:numFmt w:val="none"/>
      <w:pStyle w:val="NormalIndent"/>
      <w:suff w:val="nothing"/>
      <w:lvlText w:val=""/>
      <w:lvlJc w:val="left"/>
      <w:pPr>
        <w:ind w:left="709" w:hanging="3"/>
      </w:pPr>
      <w:rPr>
        <w:rFonts w:cs="Times New Roman"/>
        <w:spacing w:val="-10"/>
        <w:sz w:val="18"/>
      </w:rPr>
    </w:lvl>
    <w:lvl w:ilvl="1">
      <w:start w:val="1"/>
      <w:numFmt w:val="none"/>
      <w:lvlRestart w:val="0"/>
      <w:suff w:val="nothing"/>
      <w:lvlText w:val=""/>
      <w:lvlJc w:val="left"/>
      <w:pPr>
        <w:ind w:left="1134" w:firstLine="0"/>
      </w:pPr>
      <w:rPr>
        <w:rFonts w:cs="Times New Roman"/>
        <w:spacing w:val="-10"/>
        <w:sz w:val="18"/>
      </w:rPr>
    </w:lvl>
    <w:lvl w:ilvl="2">
      <w:start w:val="1"/>
      <w:numFmt w:val="none"/>
      <w:suff w:val="nothing"/>
      <w:lvlText w:val=""/>
      <w:lvlJc w:val="left"/>
      <w:pPr>
        <w:ind w:left="1559" w:firstLine="0"/>
      </w:pPr>
      <w:rPr>
        <w:rFonts w:cs="Times New Roman"/>
        <w:spacing w:val="-10"/>
        <w:sz w:val="18"/>
      </w:rPr>
    </w:lvl>
    <w:lvl w:ilvl="3">
      <w:start w:val="1"/>
      <w:numFmt w:val="none"/>
      <w:suff w:val="nothing"/>
      <w:lvlText w:val=""/>
      <w:lvlJc w:val="left"/>
      <w:pPr>
        <w:ind w:left="0" w:firstLine="0"/>
      </w:pPr>
      <w:rPr>
        <w:rFonts w:cs="Times New Roman"/>
        <w:spacing w:val="-10"/>
        <w:sz w:val="18"/>
      </w:rPr>
    </w:lvl>
    <w:lvl w:ilvl="4">
      <w:start w:val="1"/>
      <w:numFmt w:val="decimal"/>
      <w:lvlText w:val="%5."/>
      <w:lvlJc w:val="left"/>
      <w:pPr>
        <w:tabs>
          <w:tab w:val="num" w:pos="360"/>
        </w:tabs>
        <w:ind w:left="288" w:hanging="288"/>
      </w:pPr>
      <w:rPr>
        <w:rFonts w:ascii="Arial" w:hAnsi="Arial" w:cs="Times New Roman" w:hint="default"/>
        <w:b w:val="0"/>
        <w:i w:val="0"/>
        <w:spacing w:val="-10"/>
        <w:sz w:val="22"/>
      </w:rPr>
    </w:lvl>
    <w:lvl w:ilvl="5">
      <w:start w:val="1"/>
      <w:numFmt w:val="decimal"/>
      <w:lvlText w:val="%6"/>
      <w:lvlJc w:val="left"/>
      <w:pPr>
        <w:tabs>
          <w:tab w:val="num" w:pos="794"/>
        </w:tabs>
        <w:ind w:left="794" w:hanging="397"/>
      </w:pPr>
      <w:rPr>
        <w:rFonts w:cs="Times New Roman"/>
        <w:spacing w:val="-10"/>
        <w:sz w:val="18"/>
      </w:rPr>
    </w:lvl>
    <w:lvl w:ilvl="6">
      <w:start w:val="1"/>
      <w:numFmt w:val="decimal"/>
      <w:lvlText w:val="%7"/>
      <w:lvlJc w:val="left"/>
      <w:pPr>
        <w:tabs>
          <w:tab w:val="num" w:pos="1191"/>
        </w:tabs>
        <w:ind w:left="1191" w:hanging="397"/>
      </w:pPr>
      <w:rPr>
        <w:rFonts w:cs="Times New Roman"/>
        <w:spacing w:val="-10"/>
        <w:sz w:val="18"/>
      </w:rPr>
    </w:lvl>
    <w:lvl w:ilvl="7">
      <w:start w:val="1"/>
      <w:numFmt w:val="lowerLetter"/>
      <w:lvlText w:val="%8"/>
      <w:lvlJc w:val="left"/>
      <w:pPr>
        <w:tabs>
          <w:tab w:val="num" w:pos="397"/>
        </w:tabs>
        <w:ind w:left="397" w:hanging="397"/>
      </w:pPr>
      <w:rPr>
        <w:rFonts w:cs="Times New Roman"/>
      </w:rPr>
    </w:lvl>
    <w:lvl w:ilvl="8">
      <w:start w:val="1"/>
      <w:numFmt w:val="lowerLetter"/>
      <w:lvlText w:val="%9"/>
      <w:lvlJc w:val="left"/>
      <w:pPr>
        <w:tabs>
          <w:tab w:val="num" w:pos="794"/>
        </w:tabs>
        <w:ind w:left="794" w:hanging="397"/>
      </w:pPr>
      <w:rPr>
        <w:rFonts w:cs="Times New Roman"/>
      </w:rPr>
    </w:lvl>
  </w:abstractNum>
  <w:abstractNum w:abstractNumId="22" w15:restartNumberingAfterBreak="0">
    <w:nsid w:val="699E2EE1"/>
    <w:multiLevelType w:val="hybridMultilevel"/>
    <w:tmpl w:val="2F86B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67A9B"/>
    <w:multiLevelType w:val="multilevel"/>
    <w:tmpl w:val="745ED41C"/>
    <w:name w:val="HeadingList"/>
    <w:lvl w:ilvl="0">
      <w:start w:val="1"/>
      <w:numFmt w:val="none"/>
      <w:pStyle w:val="Heading1"/>
      <w:suff w:val="nothing"/>
      <w:lvlText w:val=""/>
      <w:lvlJc w:val="left"/>
      <w:pPr>
        <w:tabs>
          <w:tab w:val="num" w:pos="0"/>
        </w:tabs>
        <w:ind w:left="0" w:firstLine="0"/>
      </w:pPr>
      <w:rPr>
        <w:b w:val="0"/>
        <w:i w:val="0"/>
        <w:caps w:val="0"/>
        <w:smallCaps w:val="0"/>
        <w:vanish w:val="0"/>
        <w:u w:val="none"/>
      </w:rPr>
    </w:lvl>
    <w:lvl w:ilvl="1">
      <w:start w:val="1"/>
      <w:numFmt w:val="none"/>
      <w:pStyle w:val="Heading2"/>
      <w:suff w:val="nothing"/>
      <w:lvlText w:val=""/>
      <w:lvlJc w:val="left"/>
      <w:pPr>
        <w:tabs>
          <w:tab w:val="num" w:pos="0"/>
        </w:tabs>
        <w:ind w:left="0" w:firstLine="0"/>
      </w:pPr>
      <w:rPr>
        <w:b w:val="0"/>
        <w:i w:val="0"/>
        <w:caps w:val="0"/>
        <w:smallCaps w:val="0"/>
        <w:vanish w:val="0"/>
        <w:u w:val="none"/>
      </w:rPr>
    </w:lvl>
    <w:lvl w:ilvl="2">
      <w:start w:val="1"/>
      <w:numFmt w:val="none"/>
      <w:pStyle w:val="Heading3"/>
      <w:suff w:val="nothing"/>
      <w:lvlText w:val=""/>
      <w:lvlJc w:val="left"/>
      <w:pPr>
        <w:tabs>
          <w:tab w:val="num" w:pos="0"/>
        </w:tabs>
        <w:ind w:left="0" w:firstLine="0"/>
      </w:pPr>
      <w:rPr>
        <w:b w:val="0"/>
        <w:i w:val="0"/>
        <w:caps w:val="0"/>
        <w:smallCaps w:val="0"/>
        <w:vanish w:val="0"/>
        <w:u w:val="none"/>
      </w:rPr>
    </w:lvl>
    <w:lvl w:ilvl="3">
      <w:start w:val="1"/>
      <w:numFmt w:val="none"/>
      <w:pStyle w:val="Heading4"/>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BA1AD0"/>
    <w:multiLevelType w:val="hybridMultilevel"/>
    <w:tmpl w:val="81A40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A17547"/>
    <w:multiLevelType w:val="multilevel"/>
    <w:tmpl w:val="F75082B2"/>
    <w:name w:val="Bullet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none"/>
      <w:pStyle w:val="ListBullet"/>
      <w:lvlText w:val="%5•"/>
      <w:lvlJc w:val="left"/>
      <w:pPr>
        <w:tabs>
          <w:tab w:val="num" w:pos="567"/>
        </w:tabs>
        <w:ind w:left="851" w:hanging="284"/>
      </w:pPr>
      <w:rPr>
        <w:rFonts w:ascii="Arial" w:hAnsi="Arial" w:cs="Arial" w:hint="default"/>
        <w:b w:val="0"/>
        <w:i w:val="0"/>
        <w:caps w:val="0"/>
        <w:smallCaps w:val="0"/>
        <w:vanish w:val="0"/>
        <w:u w:val="none"/>
      </w:rPr>
    </w:lvl>
    <w:lvl w:ilvl="5">
      <w:start w:val="1"/>
      <w:numFmt w:val="lowerRoman"/>
      <w:pStyle w:val="ListBullet2"/>
      <w:lvlText w:val="─"/>
      <w:lvlJc w:val="left"/>
      <w:pPr>
        <w:tabs>
          <w:tab w:val="num" w:pos="720"/>
        </w:tabs>
        <w:ind w:left="720" w:hanging="360"/>
      </w:pPr>
      <w:rPr>
        <w:rFonts w:ascii="Arial" w:hAnsi="Arial" w:cs="Arial" w:hint="default"/>
        <w:b w:val="0"/>
        <w:i w:val="0"/>
        <w:caps w:val="0"/>
        <w:smallCaps w:val="0"/>
        <w:vanish w:val="0"/>
        <w:u w:val="none"/>
      </w:rPr>
    </w:lvl>
    <w:lvl w:ilvl="6">
      <w:start w:val="1"/>
      <w:numFmt w:val="decimal"/>
      <w:pStyle w:val="ListBullet3"/>
      <w:lvlText w:val="−"/>
      <w:lvlJc w:val="left"/>
      <w:pPr>
        <w:tabs>
          <w:tab w:val="num" w:pos="1080"/>
        </w:tabs>
        <w:ind w:left="1080" w:hanging="360"/>
      </w:pPr>
      <w:rPr>
        <w:rFonts w:ascii="Arial" w:hAnsi="Arial" w:cs="Arial" w:hint="default"/>
        <w:b w:val="0"/>
        <w:i w:val="0"/>
        <w:caps w:val="0"/>
        <w:smallCaps w:val="0"/>
        <w:vanish w:val="0"/>
        <w:u w:val="none"/>
      </w:rPr>
    </w:lvl>
    <w:lvl w:ilvl="7">
      <w:start w:val="1"/>
      <w:numFmt w:val="lowerLetter"/>
      <w:pStyle w:val="ListBullet4"/>
      <w:lvlText w:val="−"/>
      <w:lvlJc w:val="left"/>
      <w:pPr>
        <w:tabs>
          <w:tab w:val="num" w:pos="1440"/>
        </w:tabs>
        <w:ind w:left="1440" w:hanging="360"/>
      </w:pPr>
      <w:rPr>
        <w:rFonts w:ascii="Arial" w:hAnsi="Arial" w:cs="Arial" w:hint="default"/>
        <w:b w:val="0"/>
        <w:i w:val="0"/>
        <w:caps w:val="0"/>
        <w:smallCaps w:val="0"/>
        <w:vanish w:val="0"/>
        <w:u w:val="none"/>
      </w:rPr>
    </w:lvl>
    <w:lvl w:ilvl="8">
      <w:start w:val="1"/>
      <w:numFmt w:val="lowerRoman"/>
      <w:lvlText w:val="%9."/>
      <w:lvlJc w:val="left"/>
      <w:pPr>
        <w:ind w:left="3240" w:hanging="360"/>
      </w:pPr>
      <w:rPr>
        <w:rFonts w:hint="default"/>
      </w:rPr>
    </w:lvl>
  </w:abstractNum>
  <w:abstractNum w:abstractNumId="26" w15:restartNumberingAfterBreak="0">
    <w:nsid w:val="74C62672"/>
    <w:multiLevelType w:val="hybridMultilevel"/>
    <w:tmpl w:val="4C92E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01B36"/>
    <w:multiLevelType w:val="hybridMultilevel"/>
    <w:tmpl w:val="1E9ED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4017E"/>
    <w:multiLevelType w:val="hybridMultilevel"/>
    <w:tmpl w:val="1E9ED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F71BE1"/>
    <w:multiLevelType w:val="multilevel"/>
    <w:tmpl w:val="7D0A4462"/>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30" w15:restartNumberingAfterBreak="0">
    <w:nsid w:val="77FB1BFF"/>
    <w:multiLevelType w:val="hybridMultilevel"/>
    <w:tmpl w:val="1E9ED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646DA"/>
    <w:multiLevelType w:val="multilevel"/>
    <w:tmpl w:val="B2A4F236"/>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32" w15:restartNumberingAfterBreak="0">
    <w:nsid w:val="7DDD5252"/>
    <w:multiLevelType w:val="hybridMultilevel"/>
    <w:tmpl w:val="9B40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258494">
    <w:abstractNumId w:val="25"/>
  </w:num>
  <w:num w:numId="2" w16cid:durableId="23798055">
    <w:abstractNumId w:val="23"/>
  </w:num>
  <w:num w:numId="3" w16cid:durableId="1370567726">
    <w:abstractNumId w:val="3"/>
  </w:num>
  <w:num w:numId="4" w16cid:durableId="1563372192">
    <w:abstractNumId w:val="7"/>
  </w:num>
  <w:num w:numId="5" w16cid:durableId="466632032">
    <w:abstractNumId w:val="18"/>
  </w:num>
  <w:num w:numId="6" w16cid:durableId="866602411">
    <w:abstractNumId w:val="12"/>
  </w:num>
  <w:num w:numId="7" w16cid:durableId="995496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3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7911536">
    <w:abstractNumId w:val="8"/>
  </w:num>
  <w:num w:numId="10" w16cid:durableId="516772756">
    <w:abstractNumId w:val="27"/>
  </w:num>
  <w:num w:numId="11" w16cid:durableId="1692494282">
    <w:abstractNumId w:val="28"/>
  </w:num>
  <w:num w:numId="12" w16cid:durableId="1957560613">
    <w:abstractNumId w:val="30"/>
  </w:num>
  <w:num w:numId="13" w16cid:durableId="1047487446">
    <w:abstractNumId w:val="17"/>
  </w:num>
  <w:num w:numId="14" w16cid:durableId="656349240">
    <w:abstractNumId w:val="15"/>
  </w:num>
  <w:num w:numId="15" w16cid:durableId="2067409184">
    <w:abstractNumId w:val="4"/>
  </w:num>
  <w:num w:numId="16" w16cid:durableId="1544322755">
    <w:abstractNumId w:val="20"/>
  </w:num>
  <w:num w:numId="17" w16cid:durableId="231160367">
    <w:abstractNumId w:val="0"/>
  </w:num>
  <w:num w:numId="18" w16cid:durableId="1126436171">
    <w:abstractNumId w:val="25"/>
  </w:num>
  <w:num w:numId="19" w16cid:durableId="1249734060">
    <w:abstractNumId w:val="25"/>
  </w:num>
  <w:num w:numId="20" w16cid:durableId="897131244">
    <w:abstractNumId w:val="11"/>
  </w:num>
  <w:num w:numId="21" w16cid:durableId="1389841334">
    <w:abstractNumId w:val="2"/>
  </w:num>
  <w:num w:numId="22" w16cid:durableId="1470707972">
    <w:abstractNumId w:val="9"/>
  </w:num>
  <w:num w:numId="23" w16cid:durableId="700056750">
    <w:abstractNumId w:val="26"/>
  </w:num>
  <w:num w:numId="24" w16cid:durableId="506095986">
    <w:abstractNumId w:val="22"/>
  </w:num>
  <w:num w:numId="25" w16cid:durableId="1402097248">
    <w:abstractNumId w:val="1"/>
  </w:num>
  <w:num w:numId="26" w16cid:durableId="1874148245">
    <w:abstractNumId w:val="32"/>
  </w:num>
  <w:num w:numId="27" w16cid:durableId="143470312">
    <w:abstractNumId w:val="6"/>
  </w:num>
  <w:num w:numId="28" w16cid:durableId="47357036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360"/>
  <w:hyphenationZone w:val="425"/>
  <w:doNotHyphenateCap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4B"/>
    <w:rsid w:val="00001F81"/>
    <w:rsid w:val="000071F3"/>
    <w:rsid w:val="000072D8"/>
    <w:rsid w:val="000078A6"/>
    <w:rsid w:val="00010E00"/>
    <w:rsid w:val="00011D05"/>
    <w:rsid w:val="000164C0"/>
    <w:rsid w:val="00017217"/>
    <w:rsid w:val="00017316"/>
    <w:rsid w:val="00021C18"/>
    <w:rsid w:val="00023AB3"/>
    <w:rsid w:val="00025E98"/>
    <w:rsid w:val="0003083F"/>
    <w:rsid w:val="00035D7D"/>
    <w:rsid w:val="00037848"/>
    <w:rsid w:val="000401D8"/>
    <w:rsid w:val="000405BC"/>
    <w:rsid w:val="00043786"/>
    <w:rsid w:val="00044423"/>
    <w:rsid w:val="00044E83"/>
    <w:rsid w:val="0004561F"/>
    <w:rsid w:val="00050AD0"/>
    <w:rsid w:val="00052D0C"/>
    <w:rsid w:val="00054EBF"/>
    <w:rsid w:val="000550CB"/>
    <w:rsid w:val="00060E77"/>
    <w:rsid w:val="00061F74"/>
    <w:rsid w:val="00063D96"/>
    <w:rsid w:val="00064678"/>
    <w:rsid w:val="00066B89"/>
    <w:rsid w:val="00067F3E"/>
    <w:rsid w:val="00075CE5"/>
    <w:rsid w:val="00076093"/>
    <w:rsid w:val="0007732A"/>
    <w:rsid w:val="00083645"/>
    <w:rsid w:val="00084340"/>
    <w:rsid w:val="00091F65"/>
    <w:rsid w:val="00094558"/>
    <w:rsid w:val="00094783"/>
    <w:rsid w:val="00097141"/>
    <w:rsid w:val="000A5CC4"/>
    <w:rsid w:val="000A7310"/>
    <w:rsid w:val="000B1803"/>
    <w:rsid w:val="000B6A3C"/>
    <w:rsid w:val="000B78EE"/>
    <w:rsid w:val="000C05B3"/>
    <w:rsid w:val="000C2D38"/>
    <w:rsid w:val="000C6922"/>
    <w:rsid w:val="000C6E01"/>
    <w:rsid w:val="000D0C54"/>
    <w:rsid w:val="000D4095"/>
    <w:rsid w:val="000D553C"/>
    <w:rsid w:val="000D7161"/>
    <w:rsid w:val="000E0C85"/>
    <w:rsid w:val="000E239B"/>
    <w:rsid w:val="000E6BD8"/>
    <w:rsid w:val="000F2FE3"/>
    <w:rsid w:val="000F401A"/>
    <w:rsid w:val="000F6C6A"/>
    <w:rsid w:val="001005F0"/>
    <w:rsid w:val="00103400"/>
    <w:rsid w:val="00104B2A"/>
    <w:rsid w:val="0011055D"/>
    <w:rsid w:val="001170B8"/>
    <w:rsid w:val="00117DB0"/>
    <w:rsid w:val="00121041"/>
    <w:rsid w:val="00123161"/>
    <w:rsid w:val="001248AB"/>
    <w:rsid w:val="00126E2C"/>
    <w:rsid w:val="0013010F"/>
    <w:rsid w:val="00130BF2"/>
    <w:rsid w:val="00133104"/>
    <w:rsid w:val="00140265"/>
    <w:rsid w:val="00140FBA"/>
    <w:rsid w:val="00144F34"/>
    <w:rsid w:val="00151EA0"/>
    <w:rsid w:val="00153765"/>
    <w:rsid w:val="0015497D"/>
    <w:rsid w:val="001562E6"/>
    <w:rsid w:val="00157398"/>
    <w:rsid w:val="00160F51"/>
    <w:rsid w:val="0016415B"/>
    <w:rsid w:val="0017298B"/>
    <w:rsid w:val="00172BD3"/>
    <w:rsid w:val="00174FD2"/>
    <w:rsid w:val="00177FDC"/>
    <w:rsid w:val="00180F31"/>
    <w:rsid w:val="00184F91"/>
    <w:rsid w:val="001851C8"/>
    <w:rsid w:val="0018616C"/>
    <w:rsid w:val="00196052"/>
    <w:rsid w:val="001A071F"/>
    <w:rsid w:val="001A3561"/>
    <w:rsid w:val="001A6E09"/>
    <w:rsid w:val="001B1DCE"/>
    <w:rsid w:val="001B3910"/>
    <w:rsid w:val="001B5469"/>
    <w:rsid w:val="001B5CEC"/>
    <w:rsid w:val="001B64E2"/>
    <w:rsid w:val="001C02EC"/>
    <w:rsid w:val="001C0B5E"/>
    <w:rsid w:val="001C0C92"/>
    <w:rsid w:val="001C2F3A"/>
    <w:rsid w:val="001C403B"/>
    <w:rsid w:val="001D1350"/>
    <w:rsid w:val="001D1DA9"/>
    <w:rsid w:val="001D3A26"/>
    <w:rsid w:val="001E1685"/>
    <w:rsid w:val="001E3B6C"/>
    <w:rsid w:val="001F1C2C"/>
    <w:rsid w:val="001F5274"/>
    <w:rsid w:val="0021052F"/>
    <w:rsid w:val="0021344E"/>
    <w:rsid w:val="00215A56"/>
    <w:rsid w:val="002162B6"/>
    <w:rsid w:val="002177F1"/>
    <w:rsid w:val="002231B9"/>
    <w:rsid w:val="002261C2"/>
    <w:rsid w:val="002268F0"/>
    <w:rsid w:val="0023138C"/>
    <w:rsid w:val="002344C5"/>
    <w:rsid w:val="0024133B"/>
    <w:rsid w:val="00251805"/>
    <w:rsid w:val="00251C75"/>
    <w:rsid w:val="00252359"/>
    <w:rsid w:val="00265130"/>
    <w:rsid w:val="00271E67"/>
    <w:rsid w:val="00273709"/>
    <w:rsid w:val="00277D65"/>
    <w:rsid w:val="002841DA"/>
    <w:rsid w:val="00286076"/>
    <w:rsid w:val="00286B80"/>
    <w:rsid w:val="00286DFE"/>
    <w:rsid w:val="00287E8E"/>
    <w:rsid w:val="0029123F"/>
    <w:rsid w:val="002A65F6"/>
    <w:rsid w:val="002B1CF0"/>
    <w:rsid w:val="002B2AF9"/>
    <w:rsid w:val="002B4562"/>
    <w:rsid w:val="002B5256"/>
    <w:rsid w:val="002B64A5"/>
    <w:rsid w:val="002C07E1"/>
    <w:rsid w:val="002C39FC"/>
    <w:rsid w:val="002C5241"/>
    <w:rsid w:val="002C5A4B"/>
    <w:rsid w:val="002D1AC6"/>
    <w:rsid w:val="002D2FEF"/>
    <w:rsid w:val="002D516D"/>
    <w:rsid w:val="002D528A"/>
    <w:rsid w:val="002E69BC"/>
    <w:rsid w:val="002F064C"/>
    <w:rsid w:val="002F2F4B"/>
    <w:rsid w:val="002F47AD"/>
    <w:rsid w:val="002F7C22"/>
    <w:rsid w:val="00302C2D"/>
    <w:rsid w:val="00303D15"/>
    <w:rsid w:val="00305959"/>
    <w:rsid w:val="003074DB"/>
    <w:rsid w:val="00307FCD"/>
    <w:rsid w:val="0031117E"/>
    <w:rsid w:val="00311C52"/>
    <w:rsid w:val="00313967"/>
    <w:rsid w:val="003157F4"/>
    <w:rsid w:val="00316F70"/>
    <w:rsid w:val="00321E36"/>
    <w:rsid w:val="00327C4B"/>
    <w:rsid w:val="00332859"/>
    <w:rsid w:val="0034096A"/>
    <w:rsid w:val="00340A7E"/>
    <w:rsid w:val="00343AC8"/>
    <w:rsid w:val="0034415B"/>
    <w:rsid w:val="0034448D"/>
    <w:rsid w:val="00346AE6"/>
    <w:rsid w:val="00350073"/>
    <w:rsid w:val="0035225F"/>
    <w:rsid w:val="00353B80"/>
    <w:rsid w:val="0035611E"/>
    <w:rsid w:val="00356C05"/>
    <w:rsid w:val="00364F65"/>
    <w:rsid w:val="00367E58"/>
    <w:rsid w:val="003719F0"/>
    <w:rsid w:val="00375FCD"/>
    <w:rsid w:val="00376E29"/>
    <w:rsid w:val="003802CA"/>
    <w:rsid w:val="00382ABC"/>
    <w:rsid w:val="00383181"/>
    <w:rsid w:val="00385F2B"/>
    <w:rsid w:val="003956A2"/>
    <w:rsid w:val="00396B61"/>
    <w:rsid w:val="003A1165"/>
    <w:rsid w:val="003A1731"/>
    <w:rsid w:val="003A1A61"/>
    <w:rsid w:val="003A3794"/>
    <w:rsid w:val="003A47DD"/>
    <w:rsid w:val="003A6B03"/>
    <w:rsid w:val="003A71A0"/>
    <w:rsid w:val="003B01F8"/>
    <w:rsid w:val="003B02CC"/>
    <w:rsid w:val="003B0820"/>
    <w:rsid w:val="003B4DE0"/>
    <w:rsid w:val="003B5E9E"/>
    <w:rsid w:val="003C3EAA"/>
    <w:rsid w:val="003C4BA3"/>
    <w:rsid w:val="003C4E7D"/>
    <w:rsid w:val="003C717C"/>
    <w:rsid w:val="003D14D1"/>
    <w:rsid w:val="003D2068"/>
    <w:rsid w:val="003D3371"/>
    <w:rsid w:val="003D41F8"/>
    <w:rsid w:val="003D443D"/>
    <w:rsid w:val="003D5B20"/>
    <w:rsid w:val="003D702C"/>
    <w:rsid w:val="003E1F0B"/>
    <w:rsid w:val="003E224E"/>
    <w:rsid w:val="003E6434"/>
    <w:rsid w:val="003E7741"/>
    <w:rsid w:val="003E7D3A"/>
    <w:rsid w:val="003F0280"/>
    <w:rsid w:val="003F6569"/>
    <w:rsid w:val="003F724F"/>
    <w:rsid w:val="00402838"/>
    <w:rsid w:val="00406F81"/>
    <w:rsid w:val="00412497"/>
    <w:rsid w:val="0041275E"/>
    <w:rsid w:val="00415104"/>
    <w:rsid w:val="00415BE2"/>
    <w:rsid w:val="004165A4"/>
    <w:rsid w:val="00416BD1"/>
    <w:rsid w:val="00420352"/>
    <w:rsid w:val="00420A9F"/>
    <w:rsid w:val="004211DD"/>
    <w:rsid w:val="00422D1F"/>
    <w:rsid w:val="0042434B"/>
    <w:rsid w:val="00425B32"/>
    <w:rsid w:val="00431469"/>
    <w:rsid w:val="004356BB"/>
    <w:rsid w:val="004402B5"/>
    <w:rsid w:val="004403A5"/>
    <w:rsid w:val="00440992"/>
    <w:rsid w:val="00447339"/>
    <w:rsid w:val="004528D8"/>
    <w:rsid w:val="00456351"/>
    <w:rsid w:val="00460209"/>
    <w:rsid w:val="00460F44"/>
    <w:rsid w:val="004616D4"/>
    <w:rsid w:val="00462FEF"/>
    <w:rsid w:val="0046697B"/>
    <w:rsid w:val="00466F48"/>
    <w:rsid w:val="0046736A"/>
    <w:rsid w:val="00467908"/>
    <w:rsid w:val="00473F56"/>
    <w:rsid w:val="00475256"/>
    <w:rsid w:val="00484FD4"/>
    <w:rsid w:val="00490E93"/>
    <w:rsid w:val="00490F85"/>
    <w:rsid w:val="00492FAA"/>
    <w:rsid w:val="0049314B"/>
    <w:rsid w:val="0049418B"/>
    <w:rsid w:val="004947C4"/>
    <w:rsid w:val="004A06C6"/>
    <w:rsid w:val="004A243A"/>
    <w:rsid w:val="004A2C7E"/>
    <w:rsid w:val="004A3CC9"/>
    <w:rsid w:val="004A4240"/>
    <w:rsid w:val="004A68C5"/>
    <w:rsid w:val="004B4029"/>
    <w:rsid w:val="004B4DE6"/>
    <w:rsid w:val="004C2CEA"/>
    <w:rsid w:val="004C483D"/>
    <w:rsid w:val="004C49D3"/>
    <w:rsid w:val="004C7D26"/>
    <w:rsid w:val="004D028C"/>
    <w:rsid w:val="004D0E6B"/>
    <w:rsid w:val="004D3148"/>
    <w:rsid w:val="004E074C"/>
    <w:rsid w:val="004F05B0"/>
    <w:rsid w:val="004F0EF1"/>
    <w:rsid w:val="004F41F8"/>
    <w:rsid w:val="004F481D"/>
    <w:rsid w:val="004F6134"/>
    <w:rsid w:val="005019D2"/>
    <w:rsid w:val="0051117F"/>
    <w:rsid w:val="00511815"/>
    <w:rsid w:val="00511A4B"/>
    <w:rsid w:val="00511F28"/>
    <w:rsid w:val="00513C85"/>
    <w:rsid w:val="00514541"/>
    <w:rsid w:val="00514FAF"/>
    <w:rsid w:val="005156F8"/>
    <w:rsid w:val="00516BAE"/>
    <w:rsid w:val="0051741F"/>
    <w:rsid w:val="00521871"/>
    <w:rsid w:val="00521A4E"/>
    <w:rsid w:val="00522048"/>
    <w:rsid w:val="0052364B"/>
    <w:rsid w:val="0052550D"/>
    <w:rsid w:val="00525FB0"/>
    <w:rsid w:val="00530098"/>
    <w:rsid w:val="00531D08"/>
    <w:rsid w:val="00533EC0"/>
    <w:rsid w:val="00537B44"/>
    <w:rsid w:val="00544463"/>
    <w:rsid w:val="005501A3"/>
    <w:rsid w:val="005504C3"/>
    <w:rsid w:val="00550B4C"/>
    <w:rsid w:val="0055371F"/>
    <w:rsid w:val="0055439E"/>
    <w:rsid w:val="005616EB"/>
    <w:rsid w:val="005623A5"/>
    <w:rsid w:val="005639CF"/>
    <w:rsid w:val="00566ADD"/>
    <w:rsid w:val="005724E8"/>
    <w:rsid w:val="00575BE2"/>
    <w:rsid w:val="00577734"/>
    <w:rsid w:val="00577AF0"/>
    <w:rsid w:val="00581A89"/>
    <w:rsid w:val="00581DFE"/>
    <w:rsid w:val="00587766"/>
    <w:rsid w:val="00587D14"/>
    <w:rsid w:val="00591B17"/>
    <w:rsid w:val="00596B69"/>
    <w:rsid w:val="005A1357"/>
    <w:rsid w:val="005A137C"/>
    <w:rsid w:val="005A2BFA"/>
    <w:rsid w:val="005A5BDC"/>
    <w:rsid w:val="005A61BF"/>
    <w:rsid w:val="005A7499"/>
    <w:rsid w:val="005B0DF1"/>
    <w:rsid w:val="005B12A2"/>
    <w:rsid w:val="005B5364"/>
    <w:rsid w:val="005C5533"/>
    <w:rsid w:val="005D2184"/>
    <w:rsid w:val="005D701E"/>
    <w:rsid w:val="005E1C5B"/>
    <w:rsid w:val="005E2E81"/>
    <w:rsid w:val="005E4E24"/>
    <w:rsid w:val="005F0123"/>
    <w:rsid w:val="005F0FBB"/>
    <w:rsid w:val="005F1F59"/>
    <w:rsid w:val="005F20B4"/>
    <w:rsid w:val="005F2B29"/>
    <w:rsid w:val="005F2B35"/>
    <w:rsid w:val="005F5B8D"/>
    <w:rsid w:val="005F63FD"/>
    <w:rsid w:val="005F773A"/>
    <w:rsid w:val="00603598"/>
    <w:rsid w:val="00610018"/>
    <w:rsid w:val="00611ED0"/>
    <w:rsid w:val="0061635E"/>
    <w:rsid w:val="00621DBA"/>
    <w:rsid w:val="006222D4"/>
    <w:rsid w:val="006226AE"/>
    <w:rsid w:val="006256F6"/>
    <w:rsid w:val="00626409"/>
    <w:rsid w:val="0062731D"/>
    <w:rsid w:val="006345E9"/>
    <w:rsid w:val="006356BE"/>
    <w:rsid w:val="00642570"/>
    <w:rsid w:val="00645F8F"/>
    <w:rsid w:val="0064769B"/>
    <w:rsid w:val="006513F8"/>
    <w:rsid w:val="006527FB"/>
    <w:rsid w:val="00654309"/>
    <w:rsid w:val="00657443"/>
    <w:rsid w:val="00667E06"/>
    <w:rsid w:val="006709BE"/>
    <w:rsid w:val="00671BC1"/>
    <w:rsid w:val="006720DB"/>
    <w:rsid w:val="00680CDD"/>
    <w:rsid w:val="006814D1"/>
    <w:rsid w:val="00687700"/>
    <w:rsid w:val="00690FB8"/>
    <w:rsid w:val="00691A3A"/>
    <w:rsid w:val="00693EB8"/>
    <w:rsid w:val="00693F42"/>
    <w:rsid w:val="00697D1A"/>
    <w:rsid w:val="006A39DA"/>
    <w:rsid w:val="006A78FF"/>
    <w:rsid w:val="006B44EC"/>
    <w:rsid w:val="006B5FFB"/>
    <w:rsid w:val="006B6980"/>
    <w:rsid w:val="006C109D"/>
    <w:rsid w:val="006D0523"/>
    <w:rsid w:val="006D2072"/>
    <w:rsid w:val="006D26A4"/>
    <w:rsid w:val="006D332B"/>
    <w:rsid w:val="006E504D"/>
    <w:rsid w:val="006E54EB"/>
    <w:rsid w:val="006E63F6"/>
    <w:rsid w:val="006F159B"/>
    <w:rsid w:val="006F4AD5"/>
    <w:rsid w:val="006F5356"/>
    <w:rsid w:val="0070042A"/>
    <w:rsid w:val="00701B33"/>
    <w:rsid w:val="00706CAE"/>
    <w:rsid w:val="00710BCB"/>
    <w:rsid w:val="0071568F"/>
    <w:rsid w:val="00716315"/>
    <w:rsid w:val="00721973"/>
    <w:rsid w:val="0073387E"/>
    <w:rsid w:val="00733EB6"/>
    <w:rsid w:val="0073557A"/>
    <w:rsid w:val="00745CA4"/>
    <w:rsid w:val="0075023C"/>
    <w:rsid w:val="00751FB8"/>
    <w:rsid w:val="00753896"/>
    <w:rsid w:val="007555D6"/>
    <w:rsid w:val="00756B72"/>
    <w:rsid w:val="0076720A"/>
    <w:rsid w:val="007678C3"/>
    <w:rsid w:val="0078023A"/>
    <w:rsid w:val="00780657"/>
    <w:rsid w:val="007811C3"/>
    <w:rsid w:val="007814B0"/>
    <w:rsid w:val="00781E5D"/>
    <w:rsid w:val="0078200A"/>
    <w:rsid w:val="00782116"/>
    <w:rsid w:val="007847C6"/>
    <w:rsid w:val="00786A4F"/>
    <w:rsid w:val="00792E4C"/>
    <w:rsid w:val="00793D6E"/>
    <w:rsid w:val="007A743E"/>
    <w:rsid w:val="007B0F9E"/>
    <w:rsid w:val="007B6768"/>
    <w:rsid w:val="007B6D6B"/>
    <w:rsid w:val="007C2D3D"/>
    <w:rsid w:val="007C3424"/>
    <w:rsid w:val="007C6286"/>
    <w:rsid w:val="007D307B"/>
    <w:rsid w:val="007D35FC"/>
    <w:rsid w:val="007E3954"/>
    <w:rsid w:val="007E3B8F"/>
    <w:rsid w:val="007E4366"/>
    <w:rsid w:val="007E4F6D"/>
    <w:rsid w:val="007E52B5"/>
    <w:rsid w:val="007E6F4B"/>
    <w:rsid w:val="007F4E8B"/>
    <w:rsid w:val="00801535"/>
    <w:rsid w:val="00802693"/>
    <w:rsid w:val="00802874"/>
    <w:rsid w:val="00807B89"/>
    <w:rsid w:val="00810D63"/>
    <w:rsid w:val="00810D9F"/>
    <w:rsid w:val="0081215E"/>
    <w:rsid w:val="008206D0"/>
    <w:rsid w:val="00821B72"/>
    <w:rsid w:val="00822413"/>
    <w:rsid w:val="00822999"/>
    <w:rsid w:val="00827652"/>
    <w:rsid w:val="00831084"/>
    <w:rsid w:val="008321D2"/>
    <w:rsid w:val="00835C5E"/>
    <w:rsid w:val="008422E6"/>
    <w:rsid w:val="008448FC"/>
    <w:rsid w:val="00855FDE"/>
    <w:rsid w:val="00857E38"/>
    <w:rsid w:val="00861DAA"/>
    <w:rsid w:val="00875E18"/>
    <w:rsid w:val="00880D6E"/>
    <w:rsid w:val="00881A52"/>
    <w:rsid w:val="00887D9F"/>
    <w:rsid w:val="008937F1"/>
    <w:rsid w:val="00893B6C"/>
    <w:rsid w:val="00895F2B"/>
    <w:rsid w:val="008A06FB"/>
    <w:rsid w:val="008A588E"/>
    <w:rsid w:val="008B3194"/>
    <w:rsid w:val="008C75D5"/>
    <w:rsid w:val="008D2F4B"/>
    <w:rsid w:val="008D6017"/>
    <w:rsid w:val="008D61A6"/>
    <w:rsid w:val="008E34B2"/>
    <w:rsid w:val="008E3F69"/>
    <w:rsid w:val="008E7FBE"/>
    <w:rsid w:val="008F320D"/>
    <w:rsid w:val="008F51A7"/>
    <w:rsid w:val="008F7F5E"/>
    <w:rsid w:val="00900786"/>
    <w:rsid w:val="00903EEA"/>
    <w:rsid w:val="00907383"/>
    <w:rsid w:val="00913929"/>
    <w:rsid w:val="00913A59"/>
    <w:rsid w:val="009170C8"/>
    <w:rsid w:val="00920867"/>
    <w:rsid w:val="00921D66"/>
    <w:rsid w:val="00922C94"/>
    <w:rsid w:val="00923425"/>
    <w:rsid w:val="009235E0"/>
    <w:rsid w:val="009236DB"/>
    <w:rsid w:val="00923D7E"/>
    <w:rsid w:val="0092443A"/>
    <w:rsid w:val="00925E10"/>
    <w:rsid w:val="00926BA4"/>
    <w:rsid w:val="009275FC"/>
    <w:rsid w:val="00931329"/>
    <w:rsid w:val="00933F84"/>
    <w:rsid w:val="00936830"/>
    <w:rsid w:val="0094541D"/>
    <w:rsid w:val="00947ED8"/>
    <w:rsid w:val="0095055D"/>
    <w:rsid w:val="0096514B"/>
    <w:rsid w:val="00967AB3"/>
    <w:rsid w:val="00971704"/>
    <w:rsid w:val="00971B78"/>
    <w:rsid w:val="009744F7"/>
    <w:rsid w:val="00975756"/>
    <w:rsid w:val="00977215"/>
    <w:rsid w:val="00990830"/>
    <w:rsid w:val="0099282A"/>
    <w:rsid w:val="00993B03"/>
    <w:rsid w:val="00995D9E"/>
    <w:rsid w:val="009A2E54"/>
    <w:rsid w:val="009A4DA3"/>
    <w:rsid w:val="009A61EE"/>
    <w:rsid w:val="009A6456"/>
    <w:rsid w:val="009A6682"/>
    <w:rsid w:val="009B0D9C"/>
    <w:rsid w:val="009B1905"/>
    <w:rsid w:val="009B6451"/>
    <w:rsid w:val="009B66B9"/>
    <w:rsid w:val="009B6733"/>
    <w:rsid w:val="009C7273"/>
    <w:rsid w:val="009D35F1"/>
    <w:rsid w:val="009D68F8"/>
    <w:rsid w:val="009E0AA7"/>
    <w:rsid w:val="009E0F0B"/>
    <w:rsid w:val="009E3D40"/>
    <w:rsid w:val="009E67D6"/>
    <w:rsid w:val="009E7860"/>
    <w:rsid w:val="009F2911"/>
    <w:rsid w:val="009F493C"/>
    <w:rsid w:val="009F655F"/>
    <w:rsid w:val="009F79F5"/>
    <w:rsid w:val="00A018EA"/>
    <w:rsid w:val="00A07836"/>
    <w:rsid w:val="00A13AE3"/>
    <w:rsid w:val="00A1449B"/>
    <w:rsid w:val="00A22B58"/>
    <w:rsid w:val="00A23211"/>
    <w:rsid w:val="00A23696"/>
    <w:rsid w:val="00A25760"/>
    <w:rsid w:val="00A32241"/>
    <w:rsid w:val="00A406A4"/>
    <w:rsid w:val="00A4441F"/>
    <w:rsid w:val="00A46AFF"/>
    <w:rsid w:val="00A46B51"/>
    <w:rsid w:val="00A4748F"/>
    <w:rsid w:val="00A47A86"/>
    <w:rsid w:val="00A50ABE"/>
    <w:rsid w:val="00A51D91"/>
    <w:rsid w:val="00A528C6"/>
    <w:rsid w:val="00A53CD9"/>
    <w:rsid w:val="00A548E3"/>
    <w:rsid w:val="00A5597D"/>
    <w:rsid w:val="00A61605"/>
    <w:rsid w:val="00A64E42"/>
    <w:rsid w:val="00A71653"/>
    <w:rsid w:val="00A725C3"/>
    <w:rsid w:val="00A75198"/>
    <w:rsid w:val="00A75399"/>
    <w:rsid w:val="00A76A29"/>
    <w:rsid w:val="00A84F4B"/>
    <w:rsid w:val="00A93026"/>
    <w:rsid w:val="00AA1116"/>
    <w:rsid w:val="00AA5039"/>
    <w:rsid w:val="00AA67ED"/>
    <w:rsid w:val="00AB1413"/>
    <w:rsid w:val="00AB487C"/>
    <w:rsid w:val="00AB6EBB"/>
    <w:rsid w:val="00AB73C4"/>
    <w:rsid w:val="00AC0241"/>
    <w:rsid w:val="00AC3668"/>
    <w:rsid w:val="00AD0BDC"/>
    <w:rsid w:val="00AD5CE4"/>
    <w:rsid w:val="00AE6A40"/>
    <w:rsid w:val="00AF1F69"/>
    <w:rsid w:val="00AF620A"/>
    <w:rsid w:val="00B02DC9"/>
    <w:rsid w:val="00B033AC"/>
    <w:rsid w:val="00B0702F"/>
    <w:rsid w:val="00B07C96"/>
    <w:rsid w:val="00B12E26"/>
    <w:rsid w:val="00B13D3A"/>
    <w:rsid w:val="00B1722C"/>
    <w:rsid w:val="00B1787C"/>
    <w:rsid w:val="00B20D8B"/>
    <w:rsid w:val="00B2246D"/>
    <w:rsid w:val="00B234FA"/>
    <w:rsid w:val="00B24990"/>
    <w:rsid w:val="00B2519F"/>
    <w:rsid w:val="00B34C3B"/>
    <w:rsid w:val="00B34D14"/>
    <w:rsid w:val="00B367BA"/>
    <w:rsid w:val="00B36A2B"/>
    <w:rsid w:val="00B4251F"/>
    <w:rsid w:val="00B441B3"/>
    <w:rsid w:val="00B45774"/>
    <w:rsid w:val="00B464E3"/>
    <w:rsid w:val="00B502B3"/>
    <w:rsid w:val="00B504BB"/>
    <w:rsid w:val="00B53734"/>
    <w:rsid w:val="00B537B3"/>
    <w:rsid w:val="00B575BE"/>
    <w:rsid w:val="00B6220A"/>
    <w:rsid w:val="00B667FC"/>
    <w:rsid w:val="00B6705D"/>
    <w:rsid w:val="00B7030E"/>
    <w:rsid w:val="00B730F3"/>
    <w:rsid w:val="00B732AA"/>
    <w:rsid w:val="00B7377C"/>
    <w:rsid w:val="00B76A72"/>
    <w:rsid w:val="00B76E65"/>
    <w:rsid w:val="00B82D01"/>
    <w:rsid w:val="00B8524B"/>
    <w:rsid w:val="00B87E08"/>
    <w:rsid w:val="00B922E1"/>
    <w:rsid w:val="00B93D06"/>
    <w:rsid w:val="00B97008"/>
    <w:rsid w:val="00BA12DC"/>
    <w:rsid w:val="00BA3417"/>
    <w:rsid w:val="00BA3965"/>
    <w:rsid w:val="00BA49F9"/>
    <w:rsid w:val="00BA4ACE"/>
    <w:rsid w:val="00BA6456"/>
    <w:rsid w:val="00BA7D4C"/>
    <w:rsid w:val="00BB7AE8"/>
    <w:rsid w:val="00BC36A8"/>
    <w:rsid w:val="00BC77C9"/>
    <w:rsid w:val="00BD0479"/>
    <w:rsid w:val="00BD606C"/>
    <w:rsid w:val="00BD693C"/>
    <w:rsid w:val="00BF05FC"/>
    <w:rsid w:val="00BF10D3"/>
    <w:rsid w:val="00BF328B"/>
    <w:rsid w:val="00BF5C01"/>
    <w:rsid w:val="00BF6C28"/>
    <w:rsid w:val="00BF770F"/>
    <w:rsid w:val="00C00181"/>
    <w:rsid w:val="00C01A65"/>
    <w:rsid w:val="00C02BAD"/>
    <w:rsid w:val="00C02CCC"/>
    <w:rsid w:val="00C03542"/>
    <w:rsid w:val="00C14083"/>
    <w:rsid w:val="00C1743F"/>
    <w:rsid w:val="00C25F05"/>
    <w:rsid w:val="00C301BC"/>
    <w:rsid w:val="00C31DBD"/>
    <w:rsid w:val="00C34E1D"/>
    <w:rsid w:val="00C356C6"/>
    <w:rsid w:val="00C3716A"/>
    <w:rsid w:val="00C402F8"/>
    <w:rsid w:val="00C42B99"/>
    <w:rsid w:val="00C42E19"/>
    <w:rsid w:val="00C473BD"/>
    <w:rsid w:val="00C5076E"/>
    <w:rsid w:val="00C5490F"/>
    <w:rsid w:val="00C5745D"/>
    <w:rsid w:val="00C658E7"/>
    <w:rsid w:val="00C67835"/>
    <w:rsid w:val="00C703AE"/>
    <w:rsid w:val="00C734C4"/>
    <w:rsid w:val="00C73CB4"/>
    <w:rsid w:val="00C7467D"/>
    <w:rsid w:val="00C74BE0"/>
    <w:rsid w:val="00C8631B"/>
    <w:rsid w:val="00C90BB6"/>
    <w:rsid w:val="00C94CEE"/>
    <w:rsid w:val="00C9594C"/>
    <w:rsid w:val="00C96660"/>
    <w:rsid w:val="00C9768A"/>
    <w:rsid w:val="00CA20D1"/>
    <w:rsid w:val="00CA5187"/>
    <w:rsid w:val="00CB0191"/>
    <w:rsid w:val="00CB27EF"/>
    <w:rsid w:val="00CB7726"/>
    <w:rsid w:val="00CC03F7"/>
    <w:rsid w:val="00CC0FF7"/>
    <w:rsid w:val="00CC3B03"/>
    <w:rsid w:val="00CC4314"/>
    <w:rsid w:val="00CC5F8D"/>
    <w:rsid w:val="00CC69F5"/>
    <w:rsid w:val="00CC7131"/>
    <w:rsid w:val="00CC73FF"/>
    <w:rsid w:val="00CD03AD"/>
    <w:rsid w:val="00CE06AD"/>
    <w:rsid w:val="00CE0B60"/>
    <w:rsid w:val="00CE2871"/>
    <w:rsid w:val="00CE2A59"/>
    <w:rsid w:val="00CE61A9"/>
    <w:rsid w:val="00CF1277"/>
    <w:rsid w:val="00CF1E82"/>
    <w:rsid w:val="00CF37A7"/>
    <w:rsid w:val="00CF3EAD"/>
    <w:rsid w:val="00CF4CF6"/>
    <w:rsid w:val="00CF6524"/>
    <w:rsid w:val="00D0022C"/>
    <w:rsid w:val="00D00F5C"/>
    <w:rsid w:val="00D056A1"/>
    <w:rsid w:val="00D05944"/>
    <w:rsid w:val="00D06194"/>
    <w:rsid w:val="00D06B04"/>
    <w:rsid w:val="00D10586"/>
    <w:rsid w:val="00D13DBF"/>
    <w:rsid w:val="00D1610C"/>
    <w:rsid w:val="00D16E6A"/>
    <w:rsid w:val="00D17D3A"/>
    <w:rsid w:val="00D17DE6"/>
    <w:rsid w:val="00D17F8D"/>
    <w:rsid w:val="00D210D9"/>
    <w:rsid w:val="00D263A2"/>
    <w:rsid w:val="00D30C03"/>
    <w:rsid w:val="00D35B5F"/>
    <w:rsid w:val="00D40D78"/>
    <w:rsid w:val="00D42C2E"/>
    <w:rsid w:val="00D47486"/>
    <w:rsid w:val="00D550D4"/>
    <w:rsid w:val="00D55982"/>
    <w:rsid w:val="00D63B2A"/>
    <w:rsid w:val="00D656C9"/>
    <w:rsid w:val="00D7432B"/>
    <w:rsid w:val="00D759D8"/>
    <w:rsid w:val="00D75C31"/>
    <w:rsid w:val="00D76518"/>
    <w:rsid w:val="00D81209"/>
    <w:rsid w:val="00D81C5A"/>
    <w:rsid w:val="00D84274"/>
    <w:rsid w:val="00D84B0A"/>
    <w:rsid w:val="00D87E64"/>
    <w:rsid w:val="00D9071B"/>
    <w:rsid w:val="00D9563E"/>
    <w:rsid w:val="00D95ACD"/>
    <w:rsid w:val="00D97484"/>
    <w:rsid w:val="00DA303E"/>
    <w:rsid w:val="00DA395D"/>
    <w:rsid w:val="00DA439C"/>
    <w:rsid w:val="00DA4678"/>
    <w:rsid w:val="00DA68D3"/>
    <w:rsid w:val="00DA7F2D"/>
    <w:rsid w:val="00DB0108"/>
    <w:rsid w:val="00DB40E9"/>
    <w:rsid w:val="00DB5E43"/>
    <w:rsid w:val="00DC271C"/>
    <w:rsid w:val="00DC4F4D"/>
    <w:rsid w:val="00DC7824"/>
    <w:rsid w:val="00DC792B"/>
    <w:rsid w:val="00DD4140"/>
    <w:rsid w:val="00DD42AF"/>
    <w:rsid w:val="00DD5192"/>
    <w:rsid w:val="00DD65EE"/>
    <w:rsid w:val="00DF262F"/>
    <w:rsid w:val="00DF6294"/>
    <w:rsid w:val="00DF65E2"/>
    <w:rsid w:val="00DF7304"/>
    <w:rsid w:val="00E052F7"/>
    <w:rsid w:val="00E06B5E"/>
    <w:rsid w:val="00E06CDD"/>
    <w:rsid w:val="00E0734E"/>
    <w:rsid w:val="00E07E07"/>
    <w:rsid w:val="00E134BB"/>
    <w:rsid w:val="00E21DEB"/>
    <w:rsid w:val="00E27106"/>
    <w:rsid w:val="00E30934"/>
    <w:rsid w:val="00E313B4"/>
    <w:rsid w:val="00E314DB"/>
    <w:rsid w:val="00E31FAE"/>
    <w:rsid w:val="00E32E90"/>
    <w:rsid w:val="00E357B5"/>
    <w:rsid w:val="00E3643E"/>
    <w:rsid w:val="00E403F2"/>
    <w:rsid w:val="00E41028"/>
    <w:rsid w:val="00E431C7"/>
    <w:rsid w:val="00E4410D"/>
    <w:rsid w:val="00E46269"/>
    <w:rsid w:val="00E46F3D"/>
    <w:rsid w:val="00E5296E"/>
    <w:rsid w:val="00E57653"/>
    <w:rsid w:val="00E602C8"/>
    <w:rsid w:val="00E6223F"/>
    <w:rsid w:val="00E65307"/>
    <w:rsid w:val="00E65F4E"/>
    <w:rsid w:val="00E6740E"/>
    <w:rsid w:val="00E701F2"/>
    <w:rsid w:val="00E73EDA"/>
    <w:rsid w:val="00E74C34"/>
    <w:rsid w:val="00E8002C"/>
    <w:rsid w:val="00E8047D"/>
    <w:rsid w:val="00E80857"/>
    <w:rsid w:val="00E80AEF"/>
    <w:rsid w:val="00E81BB7"/>
    <w:rsid w:val="00E91FFD"/>
    <w:rsid w:val="00E95035"/>
    <w:rsid w:val="00E960A9"/>
    <w:rsid w:val="00E97D7E"/>
    <w:rsid w:val="00EA17AD"/>
    <w:rsid w:val="00EA3EE6"/>
    <w:rsid w:val="00EA674E"/>
    <w:rsid w:val="00EB6292"/>
    <w:rsid w:val="00EB72C8"/>
    <w:rsid w:val="00EC2279"/>
    <w:rsid w:val="00EC22FA"/>
    <w:rsid w:val="00EC2BF9"/>
    <w:rsid w:val="00EC5457"/>
    <w:rsid w:val="00EC648D"/>
    <w:rsid w:val="00ED0D5E"/>
    <w:rsid w:val="00EE21BD"/>
    <w:rsid w:val="00EE4061"/>
    <w:rsid w:val="00EE4C2A"/>
    <w:rsid w:val="00EE579C"/>
    <w:rsid w:val="00EF11A4"/>
    <w:rsid w:val="00EF1F10"/>
    <w:rsid w:val="00EF5370"/>
    <w:rsid w:val="00F01A0E"/>
    <w:rsid w:val="00F022EE"/>
    <w:rsid w:val="00F0324A"/>
    <w:rsid w:val="00F14217"/>
    <w:rsid w:val="00F14F52"/>
    <w:rsid w:val="00F156D9"/>
    <w:rsid w:val="00F20B1A"/>
    <w:rsid w:val="00F20FBB"/>
    <w:rsid w:val="00F223B1"/>
    <w:rsid w:val="00F2413C"/>
    <w:rsid w:val="00F242C7"/>
    <w:rsid w:val="00F26F5A"/>
    <w:rsid w:val="00F30A0F"/>
    <w:rsid w:val="00F35719"/>
    <w:rsid w:val="00F40276"/>
    <w:rsid w:val="00F43309"/>
    <w:rsid w:val="00F448BC"/>
    <w:rsid w:val="00F44AB6"/>
    <w:rsid w:val="00F44F41"/>
    <w:rsid w:val="00F52BE6"/>
    <w:rsid w:val="00F52FCC"/>
    <w:rsid w:val="00F535C9"/>
    <w:rsid w:val="00F55928"/>
    <w:rsid w:val="00F56448"/>
    <w:rsid w:val="00F6164D"/>
    <w:rsid w:val="00F627EE"/>
    <w:rsid w:val="00F62822"/>
    <w:rsid w:val="00F63A8F"/>
    <w:rsid w:val="00F74E38"/>
    <w:rsid w:val="00F75FED"/>
    <w:rsid w:val="00F820E0"/>
    <w:rsid w:val="00F8352A"/>
    <w:rsid w:val="00F85803"/>
    <w:rsid w:val="00F864BE"/>
    <w:rsid w:val="00F91215"/>
    <w:rsid w:val="00F91F3B"/>
    <w:rsid w:val="00F924B4"/>
    <w:rsid w:val="00F945AE"/>
    <w:rsid w:val="00F9665E"/>
    <w:rsid w:val="00F97BD9"/>
    <w:rsid w:val="00FA26E2"/>
    <w:rsid w:val="00FA35AD"/>
    <w:rsid w:val="00FA3F5F"/>
    <w:rsid w:val="00FA62A0"/>
    <w:rsid w:val="00FA7798"/>
    <w:rsid w:val="00FB005E"/>
    <w:rsid w:val="00FB6233"/>
    <w:rsid w:val="00FC6A01"/>
    <w:rsid w:val="00FD175D"/>
    <w:rsid w:val="00FD1E9C"/>
    <w:rsid w:val="00FD4BAE"/>
    <w:rsid w:val="00FD5DE0"/>
    <w:rsid w:val="00FD6558"/>
    <w:rsid w:val="00FD7827"/>
    <w:rsid w:val="00FE0E90"/>
    <w:rsid w:val="00FE33B4"/>
    <w:rsid w:val="00FE49E3"/>
    <w:rsid w:val="00FF0DDE"/>
    <w:rsid w:val="00FF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9CF560F"/>
  <w15:docId w15:val="{AEB0C3C9-F7F6-4B6B-B146-D428D10D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929"/>
    <w:pPr>
      <w:spacing w:after="240"/>
    </w:pPr>
    <w:rPr>
      <w:rFonts w:ascii="Mute" w:hAnsi="Mute"/>
      <w:color w:val="003865"/>
      <w:sz w:val="22"/>
    </w:rPr>
  </w:style>
  <w:style w:type="paragraph" w:styleId="Heading1">
    <w:name w:val="heading 1"/>
    <w:basedOn w:val="Normal"/>
    <w:next w:val="Normal"/>
    <w:qFormat/>
    <w:rsid w:val="002F2F4B"/>
    <w:pPr>
      <w:keepNext/>
      <w:numPr>
        <w:numId w:val="2"/>
      </w:numPr>
      <w:spacing w:after="180"/>
      <w:outlineLvl w:val="0"/>
    </w:pPr>
    <w:rPr>
      <w:b/>
      <w:sz w:val="28"/>
    </w:rPr>
  </w:style>
  <w:style w:type="paragraph" w:styleId="Heading2">
    <w:name w:val="heading 2"/>
    <w:basedOn w:val="Normal"/>
    <w:next w:val="Normal"/>
    <w:qFormat/>
    <w:rsid w:val="002F2F4B"/>
    <w:pPr>
      <w:keepNext/>
      <w:numPr>
        <w:ilvl w:val="1"/>
        <w:numId w:val="2"/>
      </w:numPr>
      <w:spacing w:after="180"/>
      <w:outlineLvl w:val="1"/>
    </w:pPr>
    <w:rPr>
      <w:b/>
      <w:color w:val="009DE0"/>
      <w:sz w:val="24"/>
    </w:rPr>
  </w:style>
  <w:style w:type="paragraph" w:styleId="Heading3">
    <w:name w:val="heading 3"/>
    <w:basedOn w:val="Normal"/>
    <w:next w:val="Normal"/>
    <w:qFormat/>
    <w:rsid w:val="002F2F4B"/>
    <w:pPr>
      <w:keepNext/>
      <w:numPr>
        <w:ilvl w:val="2"/>
        <w:numId w:val="2"/>
      </w:numPr>
      <w:spacing w:after="180"/>
      <w:outlineLvl w:val="2"/>
    </w:pPr>
    <w:rPr>
      <w:b/>
      <w:color w:val="868D95"/>
      <w:sz w:val="24"/>
    </w:rPr>
  </w:style>
  <w:style w:type="paragraph" w:styleId="Heading4">
    <w:name w:val="heading 4"/>
    <w:basedOn w:val="Normal"/>
    <w:next w:val="Normal"/>
    <w:qFormat/>
    <w:rsid w:val="002F2F4B"/>
    <w:pPr>
      <w:keepNext/>
      <w:numPr>
        <w:ilvl w:val="3"/>
        <w:numId w:val="2"/>
      </w:numPr>
      <w:spacing w:after="180"/>
      <w:outlineLvl w:val="3"/>
    </w:pPr>
    <w:rPr>
      <w:bCs/>
      <w:color w:val="868D9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rPr>
      <w:color w:val="868D95"/>
      <w:sz w:val="12"/>
    </w:rPr>
  </w:style>
  <w:style w:type="paragraph" w:customStyle="1" w:styleId="Base">
    <w:name w:val="Base"/>
    <w:rPr>
      <w:rFonts w:ascii="Mute" w:hAnsi="Mute"/>
      <w:color w:val="003865"/>
      <w:sz w:val="18"/>
    </w:rPr>
  </w:style>
  <w:style w:type="paragraph" w:customStyle="1" w:styleId="TableLogoText">
    <w:name w:val="Table Logo Text"/>
    <w:basedOn w:val="Base"/>
    <w:rsid w:val="000A7310"/>
    <w:pPr>
      <w:spacing w:line="260" w:lineRule="atLeast"/>
    </w:pPr>
    <w:rPr>
      <w:sz w:val="22"/>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rsid w:val="00D55982"/>
    <w:rPr>
      <w:noProof/>
      <w:sz w:val="2"/>
    </w:rPr>
  </w:style>
  <w:style w:type="paragraph" w:customStyle="1" w:styleId="Filestamp">
    <w:name w:val="Filestamp"/>
    <w:basedOn w:val="Base"/>
    <w:rsid w:val="00121041"/>
    <w:rPr>
      <w:noProof/>
      <w:color w:val="868D95"/>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eInfo">
    <w:name w:val="Addressee Info"/>
    <w:basedOn w:val="Base"/>
    <w:rsid w:val="00A725C3"/>
    <w:rPr>
      <w:noProof/>
      <w:sz w:val="22"/>
    </w:rPr>
  </w:style>
  <w:style w:type="paragraph" w:customStyle="1" w:styleId="DocumentName">
    <w:name w:val="Document Name"/>
    <w:basedOn w:val="Base"/>
    <w:next w:val="Normal"/>
    <w:rsid w:val="00121041"/>
    <w:pPr>
      <w:spacing w:after="180" w:line="624" w:lineRule="exact"/>
    </w:pPr>
    <w:rPr>
      <w:rFonts w:ascii="Grifo S" w:hAnsi="Grifo S"/>
      <w:b/>
      <w:sz w:val="68"/>
    </w:rPr>
  </w:style>
  <w:style w:type="paragraph" w:styleId="BalloonText">
    <w:name w:val="Balloon Text"/>
    <w:basedOn w:val="Normal"/>
    <w:link w:val="BalloonTextChar"/>
    <w:semiHidden/>
    <w:rsid w:val="00CE06AD"/>
    <w:rPr>
      <w:rFonts w:ascii="Tahoma" w:hAnsi="Tahoma" w:cs="Tahoma"/>
      <w:sz w:val="16"/>
      <w:szCs w:val="16"/>
    </w:rPr>
  </w:style>
  <w:style w:type="character" w:customStyle="1" w:styleId="BalloonTextChar">
    <w:name w:val="Balloon Text Char"/>
    <w:basedOn w:val="DefaultParagraphFont"/>
    <w:link w:val="BalloonText"/>
    <w:semiHidden/>
    <w:rsid w:val="00C734C4"/>
    <w:rPr>
      <w:rFonts w:ascii="Tahoma" w:hAnsi="Tahoma" w:cs="Tahoma"/>
      <w:sz w:val="16"/>
      <w:szCs w:val="16"/>
      <w:lang w:val="en-GB"/>
    </w:rPr>
  </w:style>
  <w:style w:type="paragraph" w:customStyle="1" w:styleId="Page2Heading">
    <w:name w:val="Page 2 Heading"/>
    <w:basedOn w:val="Base"/>
    <w:rsid w:val="00140FBA"/>
    <w:pPr>
      <w:widowControl w:val="0"/>
    </w:pPr>
    <w:rPr>
      <w:color w:val="868D95"/>
    </w:rPr>
  </w:style>
  <w:style w:type="paragraph" w:customStyle="1" w:styleId="Tagline">
    <w:name w:val="Tagline"/>
    <w:basedOn w:val="Base"/>
    <w:next w:val="Normal"/>
    <w:rsid w:val="00010E00"/>
    <w:pPr>
      <w:spacing w:line="385" w:lineRule="exact"/>
    </w:pPr>
    <w:rPr>
      <w:color w:val="868D95"/>
      <w:sz w:val="28"/>
    </w:rPr>
  </w:style>
  <w:style w:type="paragraph" w:customStyle="1" w:styleId="FaxTagline">
    <w:name w:val="Fax Tagline"/>
    <w:basedOn w:val="Base"/>
    <w:next w:val="Normal"/>
    <w:link w:val="FaxTaglineChar"/>
    <w:rsid w:val="002F2F4B"/>
    <w:pPr>
      <w:spacing w:line="385" w:lineRule="exact"/>
    </w:pPr>
    <w:rPr>
      <w:color w:val="000000"/>
      <w:sz w:val="28"/>
    </w:rPr>
  </w:style>
  <w:style w:type="character" w:customStyle="1" w:styleId="FaxTaglineChar">
    <w:name w:val="Fax Tagline Char"/>
    <w:basedOn w:val="DefaultParagraphFont"/>
    <w:link w:val="FaxTagline"/>
    <w:rsid w:val="002F2F4B"/>
    <w:rPr>
      <w:rFonts w:ascii="Mute" w:hAnsi="Mute"/>
      <w:color w:val="000000"/>
      <w:sz w:val="28"/>
    </w:rPr>
  </w:style>
  <w:style w:type="paragraph" w:customStyle="1" w:styleId="BaseBold">
    <w:name w:val="Base Bold"/>
    <w:next w:val="Base"/>
    <w:link w:val="BaseBoldChar"/>
    <w:rsid w:val="002F2F4B"/>
    <w:rPr>
      <w:rFonts w:ascii="Mute" w:hAnsi="Mute"/>
      <w:b/>
      <w:color w:val="003865"/>
      <w:sz w:val="22"/>
    </w:rPr>
  </w:style>
  <w:style w:type="character" w:customStyle="1" w:styleId="BaseBoldChar">
    <w:name w:val="Base Bold Char"/>
    <w:basedOn w:val="DefaultParagraphFont"/>
    <w:link w:val="BaseBold"/>
    <w:rsid w:val="002F2F4B"/>
    <w:rPr>
      <w:rFonts w:ascii="Mute" w:hAnsi="Mute"/>
      <w:b/>
      <w:color w:val="003865"/>
      <w:sz w:val="22"/>
    </w:rPr>
  </w:style>
  <w:style w:type="paragraph" w:styleId="ListBullet">
    <w:name w:val="List Bullet"/>
    <w:basedOn w:val="Normal"/>
    <w:unhideWhenUsed/>
    <w:qFormat/>
    <w:rsid w:val="002F2F4B"/>
    <w:pPr>
      <w:numPr>
        <w:ilvl w:val="4"/>
        <w:numId w:val="1"/>
      </w:numPr>
      <w:outlineLvl w:val="4"/>
    </w:pPr>
  </w:style>
  <w:style w:type="paragraph" w:styleId="ListBullet2">
    <w:name w:val="List Bullet 2"/>
    <w:basedOn w:val="Normal"/>
    <w:unhideWhenUsed/>
    <w:qFormat/>
    <w:rsid w:val="002F2F4B"/>
    <w:pPr>
      <w:numPr>
        <w:ilvl w:val="5"/>
        <w:numId w:val="1"/>
      </w:numPr>
      <w:outlineLvl w:val="5"/>
    </w:pPr>
  </w:style>
  <w:style w:type="paragraph" w:styleId="ListBullet3">
    <w:name w:val="List Bullet 3"/>
    <w:basedOn w:val="Normal"/>
    <w:unhideWhenUsed/>
    <w:qFormat/>
    <w:rsid w:val="002F2F4B"/>
    <w:pPr>
      <w:numPr>
        <w:ilvl w:val="6"/>
        <w:numId w:val="1"/>
      </w:numPr>
      <w:outlineLvl w:val="6"/>
    </w:pPr>
  </w:style>
  <w:style w:type="paragraph" w:styleId="ListBullet4">
    <w:name w:val="List Bullet 4"/>
    <w:basedOn w:val="Normal"/>
    <w:unhideWhenUsed/>
    <w:qFormat/>
    <w:rsid w:val="002F2F4B"/>
    <w:pPr>
      <w:numPr>
        <w:ilvl w:val="7"/>
        <w:numId w:val="1"/>
      </w:numPr>
      <w:outlineLvl w:val="7"/>
    </w:pPr>
  </w:style>
  <w:style w:type="paragraph" w:customStyle="1" w:styleId="NormalIndent1">
    <w:name w:val="Normal Indent 1"/>
    <w:basedOn w:val="Normal"/>
    <w:link w:val="NormalIndent1Char"/>
    <w:qFormat/>
    <w:rsid w:val="002F2F4B"/>
    <w:pPr>
      <w:ind w:left="360"/>
    </w:pPr>
  </w:style>
  <w:style w:type="character" w:customStyle="1" w:styleId="NormalIndent1Char">
    <w:name w:val="Normal Indent 1 Char"/>
    <w:basedOn w:val="DefaultParagraphFont"/>
    <w:link w:val="NormalIndent1"/>
    <w:rsid w:val="002F2F4B"/>
    <w:rPr>
      <w:rFonts w:ascii="Mute" w:hAnsi="Mute"/>
      <w:color w:val="003865"/>
      <w:sz w:val="22"/>
    </w:rPr>
  </w:style>
  <w:style w:type="paragraph" w:customStyle="1" w:styleId="NormalIndent2">
    <w:name w:val="Normal Indent 2"/>
    <w:basedOn w:val="Normal"/>
    <w:link w:val="NormalIndent2Char"/>
    <w:qFormat/>
    <w:rsid w:val="002F2F4B"/>
    <w:pPr>
      <w:ind w:left="720"/>
    </w:pPr>
  </w:style>
  <w:style w:type="character" w:customStyle="1" w:styleId="NormalIndent2Char">
    <w:name w:val="Normal Indent 2 Char"/>
    <w:basedOn w:val="DefaultParagraphFont"/>
    <w:link w:val="NormalIndent2"/>
    <w:rsid w:val="002F2F4B"/>
    <w:rPr>
      <w:rFonts w:ascii="Mute" w:hAnsi="Mute"/>
      <w:color w:val="003865"/>
      <w:sz w:val="22"/>
    </w:rPr>
  </w:style>
  <w:style w:type="paragraph" w:customStyle="1" w:styleId="NormalIndent3">
    <w:name w:val="Normal Indent 3"/>
    <w:basedOn w:val="Normal"/>
    <w:link w:val="NormalIndent3Char"/>
    <w:qFormat/>
    <w:rsid w:val="002F2F4B"/>
    <w:pPr>
      <w:ind w:left="1080"/>
    </w:pPr>
  </w:style>
  <w:style w:type="character" w:customStyle="1" w:styleId="NormalIndent3Char">
    <w:name w:val="Normal Indent 3 Char"/>
    <w:basedOn w:val="DefaultParagraphFont"/>
    <w:link w:val="NormalIndent3"/>
    <w:rsid w:val="002F2F4B"/>
    <w:rPr>
      <w:rFonts w:ascii="Mute" w:hAnsi="Mute"/>
      <w:color w:val="003865"/>
      <w:sz w:val="22"/>
    </w:rPr>
  </w:style>
  <w:style w:type="paragraph" w:customStyle="1" w:styleId="NormalIndent4">
    <w:name w:val="Normal Indent 4"/>
    <w:basedOn w:val="Normal"/>
    <w:link w:val="NormalIndent4Char"/>
    <w:qFormat/>
    <w:rsid w:val="002F2F4B"/>
    <w:pPr>
      <w:ind w:left="1440"/>
    </w:pPr>
  </w:style>
  <w:style w:type="character" w:customStyle="1" w:styleId="NormalIndent4Char">
    <w:name w:val="Normal Indent 4 Char"/>
    <w:basedOn w:val="DefaultParagraphFont"/>
    <w:link w:val="NormalIndent4"/>
    <w:rsid w:val="002F2F4B"/>
    <w:rPr>
      <w:rFonts w:ascii="Mute" w:hAnsi="Mute"/>
      <w:color w:val="003865"/>
      <w:sz w:val="22"/>
    </w:rPr>
  </w:style>
  <w:style w:type="paragraph" w:styleId="ListNumber">
    <w:name w:val="List Number"/>
    <w:basedOn w:val="Normal"/>
    <w:qFormat/>
    <w:rsid w:val="002F2F4B"/>
    <w:pPr>
      <w:numPr>
        <w:ilvl w:val="5"/>
        <w:numId w:val="3"/>
      </w:numPr>
      <w:outlineLvl w:val="5"/>
    </w:pPr>
  </w:style>
  <w:style w:type="paragraph" w:styleId="ListNumber2">
    <w:name w:val="List Number 2"/>
    <w:basedOn w:val="Normal"/>
    <w:semiHidden/>
    <w:unhideWhenUsed/>
    <w:qFormat/>
    <w:rsid w:val="002F2F4B"/>
    <w:pPr>
      <w:numPr>
        <w:ilvl w:val="6"/>
        <w:numId w:val="3"/>
      </w:numPr>
      <w:outlineLvl w:val="6"/>
    </w:pPr>
  </w:style>
  <w:style w:type="paragraph" w:styleId="ListNumber3">
    <w:name w:val="List Number 3"/>
    <w:basedOn w:val="Normal"/>
    <w:semiHidden/>
    <w:unhideWhenUsed/>
    <w:qFormat/>
    <w:rsid w:val="002F2F4B"/>
    <w:pPr>
      <w:numPr>
        <w:ilvl w:val="7"/>
        <w:numId w:val="3"/>
      </w:numPr>
      <w:outlineLvl w:val="7"/>
    </w:pPr>
  </w:style>
  <w:style w:type="paragraph" w:styleId="ListNumber4">
    <w:name w:val="List Number 4"/>
    <w:basedOn w:val="Normal"/>
    <w:semiHidden/>
    <w:unhideWhenUsed/>
    <w:qFormat/>
    <w:rsid w:val="002F2F4B"/>
    <w:pPr>
      <w:numPr>
        <w:ilvl w:val="8"/>
        <w:numId w:val="3"/>
      </w:numPr>
      <w:outlineLvl w:val="8"/>
    </w:pPr>
  </w:style>
  <w:style w:type="paragraph" w:customStyle="1" w:styleId="LogoHide2">
    <w:name w:val="Logo Hide 2"/>
    <w:basedOn w:val="Base"/>
    <w:next w:val="Base"/>
    <w:link w:val="LogoHide2Char"/>
    <w:rsid w:val="002F2F4B"/>
    <w:rPr>
      <w:noProof/>
      <w:sz w:val="22"/>
    </w:rPr>
  </w:style>
  <w:style w:type="character" w:customStyle="1" w:styleId="LogoHide2Char">
    <w:name w:val="Logo Hide 2 Char"/>
    <w:basedOn w:val="DefaultParagraphFont"/>
    <w:link w:val="LogoHide2"/>
    <w:rsid w:val="002F2F4B"/>
    <w:rPr>
      <w:rFonts w:ascii="Mute" w:hAnsi="Mute"/>
      <w:noProof/>
      <w:color w:val="003865"/>
      <w:sz w:val="22"/>
    </w:rPr>
  </w:style>
  <w:style w:type="paragraph" w:customStyle="1" w:styleId="Questions">
    <w:name w:val="Questions"/>
    <w:basedOn w:val="Normal"/>
    <w:next w:val="Normal"/>
    <w:link w:val="QuestionsChar"/>
    <w:qFormat/>
    <w:rsid w:val="002F2F4B"/>
    <w:pPr>
      <w:keepNext/>
      <w:spacing w:after="0"/>
    </w:pPr>
    <w:rPr>
      <w:rFonts w:ascii="Grifo S" w:hAnsi="Grifo S"/>
      <w:b/>
      <w:sz w:val="28"/>
    </w:rPr>
  </w:style>
  <w:style w:type="character" w:customStyle="1" w:styleId="QuestionsChar">
    <w:name w:val="Questions Char"/>
    <w:basedOn w:val="DefaultParagraphFont"/>
    <w:link w:val="Questions"/>
    <w:rsid w:val="002F2F4B"/>
    <w:rPr>
      <w:rFonts w:ascii="Grifo S" w:hAnsi="Grifo S"/>
      <w:b/>
      <w:color w:val="003865"/>
      <w:sz w:val="28"/>
    </w:rPr>
  </w:style>
  <w:style w:type="paragraph" w:styleId="Quote">
    <w:name w:val="Quote"/>
    <w:basedOn w:val="Normal"/>
    <w:next w:val="Normal"/>
    <w:link w:val="QuoteChar"/>
    <w:qFormat/>
    <w:rsid w:val="002F2F4B"/>
    <w:pPr>
      <w:spacing w:before="280" w:after="280"/>
      <w:ind w:left="864" w:right="864"/>
      <w:jc w:val="center"/>
    </w:pPr>
    <w:rPr>
      <w:rFonts w:ascii="Mute Italic" w:hAnsi="Mute Italic"/>
      <w:i/>
      <w:iCs/>
      <w:sz w:val="28"/>
    </w:rPr>
  </w:style>
  <w:style w:type="character" w:customStyle="1" w:styleId="QuoteChar">
    <w:name w:val="Quote Char"/>
    <w:basedOn w:val="DefaultParagraphFont"/>
    <w:link w:val="Quote"/>
    <w:uiPriority w:val="29"/>
    <w:rsid w:val="002F2F4B"/>
    <w:rPr>
      <w:rFonts w:ascii="Mute Italic" w:hAnsi="Mute Italic"/>
      <w:i/>
      <w:iCs/>
      <w:color w:val="003865"/>
      <w:sz w:val="28"/>
    </w:rPr>
  </w:style>
  <w:style w:type="paragraph" w:customStyle="1" w:styleId="TableBullet1">
    <w:name w:val="Table Bullet 1"/>
    <w:basedOn w:val="Normal"/>
    <w:link w:val="TableBullet1Char"/>
    <w:qFormat/>
    <w:rsid w:val="002F2F4B"/>
    <w:pPr>
      <w:numPr>
        <w:ilvl w:val="4"/>
        <w:numId w:val="4"/>
      </w:numPr>
      <w:spacing w:before="40" w:after="40" w:line="260" w:lineRule="atLeast"/>
      <w:outlineLvl w:val="4"/>
    </w:pPr>
  </w:style>
  <w:style w:type="character" w:customStyle="1" w:styleId="TableBullet1Char">
    <w:name w:val="Table Bullet 1 Char"/>
    <w:basedOn w:val="DefaultParagraphFont"/>
    <w:link w:val="TableBullet1"/>
    <w:rsid w:val="002F2F4B"/>
    <w:rPr>
      <w:rFonts w:ascii="Mute" w:hAnsi="Mute"/>
      <w:color w:val="003865"/>
      <w:sz w:val="22"/>
    </w:rPr>
  </w:style>
  <w:style w:type="paragraph" w:customStyle="1" w:styleId="TableBullet2">
    <w:name w:val="Table Bullet 2"/>
    <w:basedOn w:val="Normal"/>
    <w:link w:val="TableBullet2Char"/>
    <w:qFormat/>
    <w:rsid w:val="002F2F4B"/>
    <w:pPr>
      <w:numPr>
        <w:ilvl w:val="5"/>
        <w:numId w:val="4"/>
      </w:numPr>
      <w:spacing w:before="40" w:after="40" w:line="260" w:lineRule="atLeast"/>
      <w:outlineLvl w:val="5"/>
    </w:pPr>
  </w:style>
  <w:style w:type="character" w:customStyle="1" w:styleId="TableBullet2Char">
    <w:name w:val="Table Bullet 2 Char"/>
    <w:basedOn w:val="DefaultParagraphFont"/>
    <w:link w:val="TableBullet2"/>
    <w:rsid w:val="002F2F4B"/>
    <w:rPr>
      <w:rFonts w:ascii="Mute" w:hAnsi="Mute"/>
      <w:color w:val="003865"/>
      <w:sz w:val="22"/>
    </w:rPr>
  </w:style>
  <w:style w:type="paragraph" w:customStyle="1" w:styleId="TableBullet3">
    <w:name w:val="Table Bullet 3"/>
    <w:basedOn w:val="Normal"/>
    <w:link w:val="TableBullet3Char"/>
    <w:qFormat/>
    <w:rsid w:val="002F2F4B"/>
    <w:pPr>
      <w:numPr>
        <w:ilvl w:val="6"/>
        <w:numId w:val="4"/>
      </w:numPr>
      <w:spacing w:before="40" w:after="40" w:line="260" w:lineRule="atLeast"/>
      <w:outlineLvl w:val="6"/>
    </w:pPr>
  </w:style>
  <w:style w:type="character" w:customStyle="1" w:styleId="TableBullet3Char">
    <w:name w:val="Table Bullet 3 Char"/>
    <w:basedOn w:val="DefaultParagraphFont"/>
    <w:link w:val="TableBullet3"/>
    <w:rsid w:val="002F2F4B"/>
    <w:rPr>
      <w:rFonts w:ascii="Mute" w:hAnsi="Mute"/>
      <w:color w:val="003865"/>
      <w:sz w:val="22"/>
    </w:rPr>
  </w:style>
  <w:style w:type="paragraph" w:customStyle="1" w:styleId="TableBullet4">
    <w:name w:val="Table Bullet 4"/>
    <w:basedOn w:val="Normal"/>
    <w:link w:val="TableBullet4Char"/>
    <w:qFormat/>
    <w:rsid w:val="002F2F4B"/>
    <w:pPr>
      <w:numPr>
        <w:ilvl w:val="7"/>
        <w:numId w:val="4"/>
      </w:numPr>
      <w:spacing w:before="40" w:after="40" w:line="260" w:lineRule="atLeast"/>
      <w:outlineLvl w:val="7"/>
    </w:pPr>
  </w:style>
  <w:style w:type="character" w:customStyle="1" w:styleId="TableBullet4Char">
    <w:name w:val="Table Bullet 4 Char"/>
    <w:basedOn w:val="DefaultParagraphFont"/>
    <w:link w:val="TableBullet4"/>
    <w:rsid w:val="002F2F4B"/>
    <w:rPr>
      <w:rFonts w:ascii="Mute" w:hAnsi="Mute"/>
      <w:color w:val="003865"/>
      <w:sz w:val="22"/>
    </w:rPr>
  </w:style>
  <w:style w:type="paragraph" w:customStyle="1" w:styleId="TableHeadingText">
    <w:name w:val="Table Heading Text"/>
    <w:basedOn w:val="Normal"/>
    <w:link w:val="TableHeadingTextChar"/>
    <w:qFormat/>
    <w:rsid w:val="002F2F4B"/>
    <w:pPr>
      <w:keepNext/>
      <w:spacing w:before="40" w:after="40" w:line="260" w:lineRule="atLeast"/>
    </w:pPr>
    <w:rPr>
      <w:b/>
      <w:color w:val="FFFFFF"/>
    </w:rPr>
  </w:style>
  <w:style w:type="character" w:customStyle="1" w:styleId="TableHeadingTextChar">
    <w:name w:val="Table Heading Text Char"/>
    <w:basedOn w:val="DefaultParagraphFont"/>
    <w:link w:val="TableHeadingText"/>
    <w:rsid w:val="002F2F4B"/>
    <w:rPr>
      <w:rFonts w:ascii="Mute" w:hAnsi="Mute"/>
      <w:b/>
      <w:color w:val="FFFFFF"/>
      <w:sz w:val="22"/>
    </w:rPr>
  </w:style>
  <w:style w:type="paragraph" w:customStyle="1" w:styleId="TableText">
    <w:name w:val="Table Text"/>
    <w:basedOn w:val="Normal"/>
    <w:link w:val="TableTextChar"/>
    <w:qFormat/>
    <w:rsid w:val="002F2F4B"/>
    <w:pPr>
      <w:spacing w:before="40" w:after="40" w:line="260" w:lineRule="atLeast"/>
    </w:pPr>
  </w:style>
  <w:style w:type="character" w:customStyle="1" w:styleId="TableTextChar">
    <w:name w:val="Table Text Char"/>
    <w:basedOn w:val="DefaultParagraphFont"/>
    <w:link w:val="TableText"/>
    <w:rsid w:val="002F2F4B"/>
    <w:rPr>
      <w:rFonts w:ascii="Mute" w:hAnsi="Mute"/>
      <w:color w:val="003865"/>
      <w:sz w:val="22"/>
    </w:rPr>
  </w:style>
  <w:style w:type="paragraph" w:customStyle="1" w:styleId="HeadingNumber1">
    <w:name w:val="Heading Number 1"/>
    <w:basedOn w:val="Normal"/>
    <w:next w:val="NormalIndent2"/>
    <w:link w:val="HeadingNumber1Char"/>
    <w:qFormat/>
    <w:rsid w:val="002F2F4B"/>
    <w:pPr>
      <w:keepNext/>
      <w:numPr>
        <w:ilvl w:val="4"/>
        <w:numId w:val="5"/>
      </w:numPr>
      <w:spacing w:after="180"/>
      <w:outlineLvl w:val="4"/>
    </w:pPr>
    <w:rPr>
      <w:b/>
      <w:sz w:val="28"/>
    </w:rPr>
  </w:style>
  <w:style w:type="character" w:customStyle="1" w:styleId="HeadingNumber1Char">
    <w:name w:val="Heading Number 1 Char"/>
    <w:basedOn w:val="DefaultParagraphFont"/>
    <w:link w:val="HeadingNumber1"/>
    <w:rsid w:val="002F2F4B"/>
    <w:rPr>
      <w:rFonts w:ascii="Mute" w:hAnsi="Mute"/>
      <w:b/>
      <w:color w:val="003865"/>
      <w:sz w:val="28"/>
    </w:rPr>
  </w:style>
  <w:style w:type="paragraph" w:customStyle="1" w:styleId="HeadingNumber2">
    <w:name w:val="Heading Number 2"/>
    <w:basedOn w:val="Normal"/>
    <w:next w:val="NormalIndent2"/>
    <w:link w:val="HeadingNumber2Char"/>
    <w:qFormat/>
    <w:rsid w:val="002F2F4B"/>
    <w:pPr>
      <w:keepNext/>
      <w:numPr>
        <w:ilvl w:val="5"/>
        <w:numId w:val="5"/>
      </w:numPr>
      <w:spacing w:after="180"/>
      <w:outlineLvl w:val="5"/>
    </w:pPr>
    <w:rPr>
      <w:color w:val="009DE0"/>
      <w:sz w:val="24"/>
    </w:rPr>
  </w:style>
  <w:style w:type="character" w:customStyle="1" w:styleId="HeadingNumber2Char">
    <w:name w:val="Heading Number 2 Char"/>
    <w:basedOn w:val="DefaultParagraphFont"/>
    <w:link w:val="HeadingNumber2"/>
    <w:rsid w:val="002F2F4B"/>
    <w:rPr>
      <w:rFonts w:ascii="Mute" w:hAnsi="Mute"/>
      <w:color w:val="009DE0"/>
      <w:sz w:val="24"/>
    </w:rPr>
  </w:style>
  <w:style w:type="paragraph" w:customStyle="1" w:styleId="HeadingNumber3">
    <w:name w:val="Heading Number 3"/>
    <w:basedOn w:val="Normal"/>
    <w:next w:val="NormalIndent2"/>
    <w:link w:val="HeadingNumber3Char"/>
    <w:qFormat/>
    <w:rsid w:val="002F2F4B"/>
    <w:pPr>
      <w:keepNext/>
      <w:numPr>
        <w:ilvl w:val="6"/>
        <w:numId w:val="5"/>
      </w:numPr>
      <w:spacing w:after="180"/>
      <w:outlineLvl w:val="6"/>
    </w:pPr>
    <w:rPr>
      <w:b/>
      <w:color w:val="868D95"/>
      <w:sz w:val="24"/>
    </w:rPr>
  </w:style>
  <w:style w:type="character" w:customStyle="1" w:styleId="HeadingNumber3Char">
    <w:name w:val="Heading Number 3 Char"/>
    <w:basedOn w:val="DefaultParagraphFont"/>
    <w:link w:val="HeadingNumber3"/>
    <w:rsid w:val="002F2F4B"/>
    <w:rPr>
      <w:rFonts w:ascii="Mute" w:hAnsi="Mute"/>
      <w:b/>
      <w:color w:val="868D95"/>
      <w:sz w:val="24"/>
    </w:rPr>
  </w:style>
  <w:style w:type="paragraph" w:customStyle="1" w:styleId="HeadingNumber4">
    <w:name w:val="Heading Number 4"/>
    <w:basedOn w:val="Normal"/>
    <w:next w:val="NormalIndent2"/>
    <w:link w:val="HeadingNumber4Char"/>
    <w:qFormat/>
    <w:rsid w:val="002F2F4B"/>
    <w:pPr>
      <w:keepNext/>
      <w:numPr>
        <w:ilvl w:val="7"/>
        <w:numId w:val="5"/>
      </w:numPr>
      <w:spacing w:after="180"/>
      <w:outlineLvl w:val="7"/>
    </w:pPr>
    <w:rPr>
      <w:color w:val="868D95"/>
    </w:rPr>
  </w:style>
  <w:style w:type="character" w:customStyle="1" w:styleId="HeadingNumber4Char">
    <w:name w:val="Heading Number 4 Char"/>
    <w:basedOn w:val="DefaultParagraphFont"/>
    <w:link w:val="HeadingNumber4"/>
    <w:rsid w:val="002F2F4B"/>
    <w:rPr>
      <w:rFonts w:ascii="Mute" w:hAnsi="Mute"/>
      <w:color w:val="868D95"/>
      <w:sz w:val="22"/>
    </w:rPr>
  </w:style>
  <w:style w:type="paragraph" w:styleId="Bibliography">
    <w:name w:val="Bibliography"/>
    <w:basedOn w:val="Normal"/>
    <w:next w:val="Normal"/>
    <w:uiPriority w:val="37"/>
    <w:semiHidden/>
    <w:rsid w:val="002F2F4B"/>
  </w:style>
  <w:style w:type="character" w:styleId="BookTitle">
    <w:name w:val="Book Title"/>
    <w:basedOn w:val="DefaultParagraphFont"/>
    <w:uiPriority w:val="33"/>
    <w:semiHidden/>
    <w:qFormat/>
    <w:rsid w:val="002F2F4B"/>
    <w:rPr>
      <w:b/>
      <w:bCs/>
      <w:i/>
      <w:iCs/>
      <w:spacing w:val="5"/>
    </w:rPr>
  </w:style>
  <w:style w:type="paragraph" w:styleId="Caption">
    <w:name w:val="caption"/>
    <w:basedOn w:val="Normal"/>
    <w:next w:val="Normal"/>
    <w:semiHidden/>
    <w:qFormat/>
    <w:rsid w:val="002F2F4B"/>
    <w:pPr>
      <w:spacing w:after="200"/>
    </w:pPr>
    <w:rPr>
      <w:i/>
      <w:iCs/>
      <w:color w:val="868D95" w:themeColor="text2"/>
      <w:sz w:val="18"/>
      <w:szCs w:val="18"/>
    </w:rPr>
  </w:style>
  <w:style w:type="paragraph" w:styleId="DocumentMap">
    <w:name w:val="Document Map"/>
    <w:basedOn w:val="Normal"/>
    <w:link w:val="DocumentMapChar"/>
    <w:semiHidden/>
    <w:rsid w:val="002F2F4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2F2F4B"/>
    <w:rPr>
      <w:rFonts w:ascii="Segoe UI" w:hAnsi="Segoe UI" w:cs="Segoe UI"/>
      <w:color w:val="003865"/>
      <w:sz w:val="16"/>
      <w:szCs w:val="16"/>
    </w:rPr>
  </w:style>
  <w:style w:type="paragraph" w:styleId="ListParagraph">
    <w:name w:val="List Paragraph"/>
    <w:aliases w:val="RTC - Bulleted List - multiple levels"/>
    <w:basedOn w:val="Normal"/>
    <w:link w:val="ListParagraphChar"/>
    <w:uiPriority w:val="34"/>
    <w:qFormat/>
    <w:rsid w:val="002F2F4B"/>
    <w:pPr>
      <w:ind w:left="720"/>
      <w:contextualSpacing/>
    </w:pPr>
  </w:style>
  <w:style w:type="paragraph" w:styleId="MacroText">
    <w:name w:val="macro"/>
    <w:link w:val="MacroTextChar"/>
    <w:semiHidden/>
    <w:rsid w:val="002F2F4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3865"/>
    </w:rPr>
  </w:style>
  <w:style w:type="character" w:customStyle="1" w:styleId="MacroTextChar">
    <w:name w:val="Macro Text Char"/>
    <w:basedOn w:val="DefaultParagraphFont"/>
    <w:link w:val="MacroText"/>
    <w:semiHidden/>
    <w:rsid w:val="002F2F4B"/>
    <w:rPr>
      <w:rFonts w:ascii="Consolas" w:hAnsi="Consolas"/>
      <w:color w:val="003865"/>
    </w:rPr>
  </w:style>
  <w:style w:type="paragraph" w:styleId="NoSpacing">
    <w:name w:val="No Spacing"/>
    <w:uiPriority w:val="1"/>
    <w:semiHidden/>
    <w:qFormat/>
    <w:rsid w:val="002F2F4B"/>
    <w:rPr>
      <w:rFonts w:ascii="Mute" w:hAnsi="Mute"/>
      <w:color w:val="003865"/>
      <w:sz w:val="22"/>
    </w:rPr>
  </w:style>
  <w:style w:type="paragraph" w:styleId="NormalWeb">
    <w:name w:val="Normal (Web)"/>
    <w:basedOn w:val="Normal"/>
    <w:uiPriority w:val="99"/>
    <w:semiHidden/>
    <w:rsid w:val="002F2F4B"/>
    <w:rPr>
      <w:rFonts w:ascii="Times New Roman" w:hAnsi="Times New Roman"/>
      <w:sz w:val="24"/>
      <w:szCs w:val="24"/>
    </w:rPr>
  </w:style>
  <w:style w:type="character" w:styleId="PlaceholderText">
    <w:name w:val="Placeholder Text"/>
    <w:basedOn w:val="DefaultParagraphFont"/>
    <w:uiPriority w:val="99"/>
    <w:semiHidden/>
    <w:rsid w:val="002F2F4B"/>
    <w:rPr>
      <w:color w:val="808080"/>
    </w:rPr>
  </w:style>
  <w:style w:type="paragraph" w:styleId="TableofAuthorities">
    <w:name w:val="table of authorities"/>
    <w:basedOn w:val="Normal"/>
    <w:next w:val="Normal"/>
    <w:semiHidden/>
    <w:rsid w:val="002F2F4B"/>
    <w:pPr>
      <w:spacing w:after="0"/>
      <w:ind w:left="220" w:hanging="220"/>
    </w:pPr>
  </w:style>
  <w:style w:type="paragraph" w:styleId="TableofFigures">
    <w:name w:val="table of figures"/>
    <w:basedOn w:val="Normal"/>
    <w:next w:val="Normal"/>
    <w:semiHidden/>
    <w:rsid w:val="002F2F4B"/>
    <w:pPr>
      <w:spacing w:after="0"/>
    </w:pPr>
  </w:style>
  <w:style w:type="paragraph" w:styleId="TOAHeading">
    <w:name w:val="toa heading"/>
    <w:basedOn w:val="Normal"/>
    <w:next w:val="Normal"/>
    <w:semiHidden/>
    <w:rsid w:val="002F2F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2F2F4B"/>
    <w:pPr>
      <w:keepLines/>
      <w:numPr>
        <w:numId w:val="0"/>
      </w:numPr>
      <w:spacing w:before="240" w:after="0"/>
      <w:outlineLvl w:val="9"/>
    </w:pPr>
    <w:rPr>
      <w:rFonts w:asciiTheme="majorHAnsi" w:eastAsiaTheme="majorEastAsia" w:hAnsiTheme="majorHAnsi" w:cstheme="majorBidi"/>
      <w:b w:val="0"/>
      <w:color w:val="0075A7" w:themeColor="accent1" w:themeShade="BF"/>
      <w:sz w:val="32"/>
      <w:szCs w:val="32"/>
    </w:rPr>
  </w:style>
  <w:style w:type="character" w:styleId="CommentReference">
    <w:name w:val="annotation reference"/>
    <w:basedOn w:val="DefaultParagraphFont"/>
    <w:semiHidden/>
    <w:rsid w:val="002F2F4B"/>
    <w:rPr>
      <w:sz w:val="16"/>
      <w:szCs w:val="16"/>
    </w:rPr>
  </w:style>
  <w:style w:type="paragraph" w:styleId="CommentText">
    <w:name w:val="annotation text"/>
    <w:basedOn w:val="Normal"/>
    <w:link w:val="CommentTextChar"/>
    <w:uiPriority w:val="99"/>
    <w:rsid w:val="002F2F4B"/>
    <w:rPr>
      <w:sz w:val="20"/>
    </w:rPr>
  </w:style>
  <w:style w:type="character" w:customStyle="1" w:styleId="CommentTextChar">
    <w:name w:val="Comment Text Char"/>
    <w:basedOn w:val="DefaultParagraphFont"/>
    <w:link w:val="CommentText"/>
    <w:uiPriority w:val="99"/>
    <w:rsid w:val="002F2F4B"/>
    <w:rPr>
      <w:rFonts w:ascii="Mute" w:hAnsi="Mute"/>
      <w:color w:val="003865"/>
    </w:rPr>
  </w:style>
  <w:style w:type="paragraph" w:styleId="CommentSubject">
    <w:name w:val="annotation subject"/>
    <w:basedOn w:val="CommentText"/>
    <w:next w:val="CommentText"/>
    <w:link w:val="CommentSubjectChar"/>
    <w:semiHidden/>
    <w:rsid w:val="002F2F4B"/>
    <w:rPr>
      <w:b/>
      <w:bCs/>
    </w:rPr>
  </w:style>
  <w:style w:type="character" w:customStyle="1" w:styleId="CommentSubjectChar">
    <w:name w:val="Comment Subject Char"/>
    <w:basedOn w:val="CommentTextChar"/>
    <w:link w:val="CommentSubject"/>
    <w:semiHidden/>
    <w:rsid w:val="002F2F4B"/>
    <w:rPr>
      <w:rFonts w:ascii="Mute" w:hAnsi="Mute"/>
      <w:b/>
      <w:bCs/>
      <w:color w:val="003865"/>
    </w:rPr>
  </w:style>
  <w:style w:type="character" w:styleId="EndnoteReference">
    <w:name w:val="endnote reference"/>
    <w:basedOn w:val="DefaultParagraphFont"/>
    <w:semiHidden/>
    <w:rsid w:val="002F2F4B"/>
    <w:rPr>
      <w:vertAlign w:val="superscript"/>
    </w:rPr>
  </w:style>
  <w:style w:type="paragraph" w:styleId="EndnoteText">
    <w:name w:val="endnote text"/>
    <w:basedOn w:val="Normal"/>
    <w:link w:val="EndnoteTextChar"/>
    <w:semiHidden/>
    <w:rsid w:val="002F2F4B"/>
    <w:pPr>
      <w:spacing w:after="0"/>
    </w:pPr>
    <w:rPr>
      <w:sz w:val="20"/>
    </w:rPr>
  </w:style>
  <w:style w:type="character" w:customStyle="1" w:styleId="EndnoteTextChar">
    <w:name w:val="Endnote Text Char"/>
    <w:basedOn w:val="DefaultParagraphFont"/>
    <w:link w:val="EndnoteText"/>
    <w:semiHidden/>
    <w:rsid w:val="002F2F4B"/>
    <w:rPr>
      <w:rFonts w:ascii="Mute" w:hAnsi="Mute"/>
      <w:color w:val="003865"/>
    </w:rPr>
  </w:style>
  <w:style w:type="character" w:styleId="FootnoteReference">
    <w:name w:val="footnote reference"/>
    <w:basedOn w:val="DefaultParagraphFont"/>
    <w:semiHidden/>
    <w:rsid w:val="002F2F4B"/>
    <w:rPr>
      <w:vertAlign w:val="superscript"/>
    </w:rPr>
  </w:style>
  <w:style w:type="paragraph" w:styleId="FootnoteText">
    <w:name w:val="footnote text"/>
    <w:basedOn w:val="Normal"/>
    <w:link w:val="FootnoteTextChar"/>
    <w:semiHidden/>
    <w:rsid w:val="002F2F4B"/>
    <w:pPr>
      <w:spacing w:after="0"/>
    </w:pPr>
    <w:rPr>
      <w:sz w:val="20"/>
    </w:rPr>
  </w:style>
  <w:style w:type="character" w:customStyle="1" w:styleId="FootnoteTextChar">
    <w:name w:val="Footnote Text Char"/>
    <w:basedOn w:val="DefaultParagraphFont"/>
    <w:link w:val="FootnoteText"/>
    <w:semiHidden/>
    <w:rsid w:val="002F2F4B"/>
    <w:rPr>
      <w:rFonts w:ascii="Mute" w:hAnsi="Mute"/>
      <w:color w:val="003865"/>
    </w:rPr>
  </w:style>
  <w:style w:type="character" w:styleId="HTMLAcronym">
    <w:name w:val="HTML Acronym"/>
    <w:basedOn w:val="DefaultParagraphFont"/>
    <w:semiHidden/>
    <w:rsid w:val="002F2F4B"/>
  </w:style>
  <w:style w:type="paragraph" w:styleId="HTMLAddress">
    <w:name w:val="HTML Address"/>
    <w:basedOn w:val="Normal"/>
    <w:link w:val="HTMLAddressChar"/>
    <w:semiHidden/>
    <w:rsid w:val="002F2F4B"/>
    <w:pPr>
      <w:spacing w:after="0"/>
    </w:pPr>
    <w:rPr>
      <w:i/>
      <w:iCs/>
    </w:rPr>
  </w:style>
  <w:style w:type="character" w:customStyle="1" w:styleId="HTMLAddressChar">
    <w:name w:val="HTML Address Char"/>
    <w:basedOn w:val="DefaultParagraphFont"/>
    <w:link w:val="HTMLAddress"/>
    <w:semiHidden/>
    <w:rsid w:val="002F2F4B"/>
    <w:rPr>
      <w:rFonts w:ascii="Mute" w:hAnsi="Mute"/>
      <w:i/>
      <w:iCs/>
      <w:color w:val="003865"/>
      <w:sz w:val="22"/>
    </w:rPr>
  </w:style>
  <w:style w:type="character" w:styleId="HTMLCite">
    <w:name w:val="HTML Cite"/>
    <w:basedOn w:val="DefaultParagraphFont"/>
    <w:semiHidden/>
    <w:rsid w:val="002F2F4B"/>
    <w:rPr>
      <w:i/>
      <w:iCs/>
    </w:rPr>
  </w:style>
  <w:style w:type="character" w:styleId="HTMLCode">
    <w:name w:val="HTML Code"/>
    <w:basedOn w:val="DefaultParagraphFont"/>
    <w:semiHidden/>
    <w:rsid w:val="002F2F4B"/>
    <w:rPr>
      <w:rFonts w:ascii="Consolas" w:hAnsi="Consolas"/>
      <w:sz w:val="20"/>
      <w:szCs w:val="20"/>
    </w:rPr>
  </w:style>
  <w:style w:type="character" w:styleId="HTMLDefinition">
    <w:name w:val="HTML Definition"/>
    <w:basedOn w:val="DefaultParagraphFont"/>
    <w:semiHidden/>
    <w:rsid w:val="002F2F4B"/>
    <w:rPr>
      <w:i/>
      <w:iCs/>
    </w:rPr>
  </w:style>
  <w:style w:type="character" w:styleId="HTMLKeyboard">
    <w:name w:val="HTML Keyboard"/>
    <w:basedOn w:val="DefaultParagraphFont"/>
    <w:semiHidden/>
    <w:rsid w:val="002F2F4B"/>
    <w:rPr>
      <w:rFonts w:ascii="Consolas" w:hAnsi="Consolas"/>
      <w:sz w:val="20"/>
      <w:szCs w:val="20"/>
    </w:rPr>
  </w:style>
  <w:style w:type="paragraph" w:styleId="HTMLPreformatted">
    <w:name w:val="HTML Preformatted"/>
    <w:basedOn w:val="Normal"/>
    <w:link w:val="HTMLPreformattedChar"/>
    <w:semiHidden/>
    <w:rsid w:val="002F2F4B"/>
    <w:pPr>
      <w:spacing w:after="0"/>
    </w:pPr>
    <w:rPr>
      <w:rFonts w:ascii="Consolas" w:hAnsi="Consolas"/>
      <w:sz w:val="20"/>
    </w:rPr>
  </w:style>
  <w:style w:type="character" w:customStyle="1" w:styleId="HTMLPreformattedChar">
    <w:name w:val="HTML Preformatted Char"/>
    <w:basedOn w:val="DefaultParagraphFont"/>
    <w:link w:val="HTMLPreformatted"/>
    <w:semiHidden/>
    <w:rsid w:val="002F2F4B"/>
    <w:rPr>
      <w:rFonts w:ascii="Consolas" w:hAnsi="Consolas"/>
      <w:color w:val="003865"/>
    </w:rPr>
  </w:style>
  <w:style w:type="character" w:styleId="HTMLSample">
    <w:name w:val="HTML Sample"/>
    <w:basedOn w:val="DefaultParagraphFont"/>
    <w:semiHidden/>
    <w:rsid w:val="002F2F4B"/>
    <w:rPr>
      <w:rFonts w:ascii="Consolas" w:hAnsi="Consolas"/>
      <w:sz w:val="24"/>
      <w:szCs w:val="24"/>
    </w:rPr>
  </w:style>
  <w:style w:type="character" w:styleId="HTMLTypewriter">
    <w:name w:val="HTML Typewriter"/>
    <w:basedOn w:val="DefaultParagraphFont"/>
    <w:semiHidden/>
    <w:rsid w:val="002F2F4B"/>
    <w:rPr>
      <w:rFonts w:ascii="Consolas" w:hAnsi="Consolas"/>
      <w:sz w:val="20"/>
      <w:szCs w:val="20"/>
    </w:rPr>
  </w:style>
  <w:style w:type="character" w:styleId="HTMLVariable">
    <w:name w:val="HTML Variable"/>
    <w:basedOn w:val="DefaultParagraphFont"/>
    <w:semiHidden/>
    <w:rsid w:val="002F2F4B"/>
    <w:rPr>
      <w:i/>
      <w:iCs/>
    </w:rPr>
  </w:style>
  <w:style w:type="paragraph" w:styleId="Index1">
    <w:name w:val="index 1"/>
    <w:basedOn w:val="Normal"/>
    <w:next w:val="Normal"/>
    <w:autoRedefine/>
    <w:semiHidden/>
    <w:rsid w:val="002F2F4B"/>
    <w:pPr>
      <w:spacing w:after="0"/>
      <w:ind w:left="220" w:hanging="220"/>
    </w:pPr>
  </w:style>
  <w:style w:type="paragraph" w:styleId="Index2">
    <w:name w:val="index 2"/>
    <w:basedOn w:val="Normal"/>
    <w:next w:val="Normal"/>
    <w:autoRedefine/>
    <w:semiHidden/>
    <w:rsid w:val="002F2F4B"/>
    <w:pPr>
      <w:spacing w:after="0"/>
      <w:ind w:left="440" w:hanging="220"/>
    </w:pPr>
  </w:style>
  <w:style w:type="paragraph" w:styleId="Index3">
    <w:name w:val="index 3"/>
    <w:basedOn w:val="Normal"/>
    <w:next w:val="Normal"/>
    <w:autoRedefine/>
    <w:semiHidden/>
    <w:rsid w:val="002F2F4B"/>
    <w:pPr>
      <w:spacing w:after="0"/>
      <w:ind w:left="660" w:hanging="220"/>
    </w:pPr>
  </w:style>
  <w:style w:type="paragraph" w:styleId="Index4">
    <w:name w:val="index 4"/>
    <w:basedOn w:val="Normal"/>
    <w:next w:val="Normal"/>
    <w:autoRedefine/>
    <w:semiHidden/>
    <w:rsid w:val="002F2F4B"/>
    <w:pPr>
      <w:spacing w:after="0"/>
      <w:ind w:left="880" w:hanging="220"/>
    </w:pPr>
  </w:style>
  <w:style w:type="paragraph" w:styleId="Index5">
    <w:name w:val="index 5"/>
    <w:basedOn w:val="Normal"/>
    <w:next w:val="Normal"/>
    <w:autoRedefine/>
    <w:semiHidden/>
    <w:rsid w:val="002F2F4B"/>
    <w:pPr>
      <w:spacing w:after="0"/>
      <w:ind w:left="1100" w:hanging="220"/>
    </w:pPr>
  </w:style>
  <w:style w:type="paragraph" w:styleId="Index6">
    <w:name w:val="index 6"/>
    <w:basedOn w:val="Normal"/>
    <w:next w:val="Normal"/>
    <w:autoRedefine/>
    <w:semiHidden/>
    <w:rsid w:val="002F2F4B"/>
    <w:pPr>
      <w:spacing w:after="0"/>
      <w:ind w:left="1320" w:hanging="220"/>
    </w:pPr>
  </w:style>
  <w:style w:type="paragraph" w:styleId="Index7">
    <w:name w:val="index 7"/>
    <w:basedOn w:val="Normal"/>
    <w:next w:val="Normal"/>
    <w:autoRedefine/>
    <w:semiHidden/>
    <w:rsid w:val="002F2F4B"/>
    <w:pPr>
      <w:spacing w:after="0"/>
      <w:ind w:left="1540" w:hanging="220"/>
    </w:pPr>
  </w:style>
  <w:style w:type="paragraph" w:styleId="Index8">
    <w:name w:val="index 8"/>
    <w:basedOn w:val="Normal"/>
    <w:next w:val="Normal"/>
    <w:autoRedefine/>
    <w:semiHidden/>
    <w:rsid w:val="002F2F4B"/>
    <w:pPr>
      <w:spacing w:after="0"/>
      <w:ind w:left="1760" w:hanging="220"/>
    </w:pPr>
  </w:style>
  <w:style w:type="paragraph" w:styleId="Index9">
    <w:name w:val="index 9"/>
    <w:basedOn w:val="Normal"/>
    <w:next w:val="Normal"/>
    <w:autoRedefine/>
    <w:semiHidden/>
    <w:rsid w:val="002F2F4B"/>
    <w:pPr>
      <w:spacing w:after="0"/>
      <w:ind w:left="1980" w:hanging="220"/>
    </w:pPr>
  </w:style>
  <w:style w:type="paragraph" w:styleId="IndexHeading">
    <w:name w:val="index heading"/>
    <w:basedOn w:val="Normal"/>
    <w:next w:val="Index1"/>
    <w:semiHidden/>
    <w:rsid w:val="002F2F4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F2F4B"/>
    <w:rPr>
      <w:i/>
      <w:iCs/>
      <w:color w:val="009DE0" w:themeColor="accent1"/>
    </w:rPr>
  </w:style>
  <w:style w:type="paragraph" w:styleId="IntenseQuote">
    <w:name w:val="Intense Quote"/>
    <w:basedOn w:val="Normal"/>
    <w:next w:val="Normal"/>
    <w:link w:val="IntenseQuoteChar"/>
    <w:uiPriority w:val="30"/>
    <w:semiHidden/>
    <w:qFormat/>
    <w:rsid w:val="002F2F4B"/>
    <w:pPr>
      <w:pBdr>
        <w:top w:val="single" w:sz="4" w:space="10" w:color="009DE0" w:themeColor="accent1"/>
        <w:bottom w:val="single" w:sz="4" w:space="10" w:color="009DE0" w:themeColor="accent1"/>
      </w:pBdr>
      <w:spacing w:before="360" w:after="360"/>
      <w:ind w:left="864" w:right="864"/>
      <w:jc w:val="center"/>
    </w:pPr>
    <w:rPr>
      <w:i/>
      <w:iCs/>
      <w:color w:val="009DE0" w:themeColor="accent1"/>
    </w:rPr>
  </w:style>
  <w:style w:type="character" w:customStyle="1" w:styleId="IntenseQuoteChar">
    <w:name w:val="Intense Quote Char"/>
    <w:basedOn w:val="DefaultParagraphFont"/>
    <w:link w:val="IntenseQuote"/>
    <w:uiPriority w:val="30"/>
    <w:semiHidden/>
    <w:rsid w:val="002F2F4B"/>
    <w:rPr>
      <w:rFonts w:ascii="Mute" w:hAnsi="Mute"/>
      <w:i/>
      <w:iCs/>
      <w:color w:val="009DE0" w:themeColor="accent1"/>
      <w:sz w:val="22"/>
    </w:rPr>
  </w:style>
  <w:style w:type="character" w:styleId="IntenseReference">
    <w:name w:val="Intense Reference"/>
    <w:basedOn w:val="DefaultParagraphFont"/>
    <w:uiPriority w:val="32"/>
    <w:semiHidden/>
    <w:qFormat/>
    <w:rsid w:val="002F2F4B"/>
    <w:rPr>
      <w:b/>
      <w:bCs/>
      <w:smallCaps/>
      <w:color w:val="009DE0" w:themeColor="accent1"/>
      <w:spacing w:val="5"/>
    </w:rPr>
  </w:style>
  <w:style w:type="character" w:styleId="SubtleEmphasis">
    <w:name w:val="Subtle Emphasis"/>
    <w:basedOn w:val="DefaultParagraphFont"/>
    <w:uiPriority w:val="19"/>
    <w:semiHidden/>
    <w:qFormat/>
    <w:rsid w:val="002F2F4B"/>
    <w:rPr>
      <w:i/>
      <w:iCs/>
      <w:color w:val="0070CB" w:themeColor="text1" w:themeTint="BF"/>
    </w:rPr>
  </w:style>
  <w:style w:type="character" w:styleId="SubtleReference">
    <w:name w:val="Subtle Reference"/>
    <w:basedOn w:val="DefaultParagraphFont"/>
    <w:uiPriority w:val="31"/>
    <w:semiHidden/>
    <w:qFormat/>
    <w:rsid w:val="002F2F4B"/>
    <w:rPr>
      <w:smallCaps/>
      <w:color w:val="0087F5" w:themeColor="text1" w:themeTint="A5"/>
    </w:rPr>
  </w:style>
  <w:style w:type="paragraph" w:customStyle="1" w:styleId="RTC-Normaltext">
    <w:name w:val="RTC - Normal text"/>
    <w:basedOn w:val="Normal"/>
    <w:link w:val="RTC-NormaltextChar"/>
    <w:qFormat/>
    <w:rsid w:val="00416BD1"/>
    <w:pPr>
      <w:suppressAutoHyphens/>
    </w:pPr>
    <w:rPr>
      <w:rFonts w:ascii="Arial" w:hAnsi="Arial" w:cs="Arial"/>
      <w:color w:val="auto"/>
      <w:szCs w:val="22"/>
      <w:lang w:val="en-GB" w:eastAsia="en-GB"/>
    </w:rPr>
  </w:style>
  <w:style w:type="character" w:customStyle="1" w:styleId="RTC-NormaltextChar">
    <w:name w:val="RTC - Normal text Char"/>
    <w:basedOn w:val="DefaultParagraphFont"/>
    <w:link w:val="RTC-Normaltext"/>
    <w:rsid w:val="00416BD1"/>
    <w:rPr>
      <w:rFonts w:ascii="Arial" w:hAnsi="Arial" w:cs="Arial"/>
      <w:sz w:val="22"/>
      <w:szCs w:val="22"/>
      <w:lang w:val="en-GB" w:eastAsia="en-GB"/>
    </w:rPr>
  </w:style>
  <w:style w:type="character" w:styleId="Hyperlink">
    <w:name w:val="Hyperlink"/>
    <w:uiPriority w:val="99"/>
    <w:rsid w:val="00416BD1"/>
    <w:rPr>
      <w:noProof w:val="0"/>
      <w:color w:val="0000FF"/>
      <w:u w:val="single"/>
      <w:lang w:val="en-GB"/>
    </w:rPr>
  </w:style>
  <w:style w:type="character" w:customStyle="1" w:styleId="sectxt">
    <w:name w:val="sectxt"/>
    <w:basedOn w:val="DefaultParagraphFont"/>
    <w:rsid w:val="00416BD1"/>
  </w:style>
  <w:style w:type="character" w:customStyle="1" w:styleId="ListParagraphChar">
    <w:name w:val="List Paragraph Char"/>
    <w:aliases w:val="RTC - Bulleted List - multiple levels Char"/>
    <w:basedOn w:val="DefaultParagraphFont"/>
    <w:link w:val="ListParagraph"/>
    <w:uiPriority w:val="34"/>
    <w:rsid w:val="00416BD1"/>
    <w:rPr>
      <w:rFonts w:ascii="Mute" w:hAnsi="Mute"/>
      <w:color w:val="003865"/>
      <w:sz w:val="22"/>
    </w:rPr>
  </w:style>
  <w:style w:type="character" w:customStyle="1" w:styleId="defterm3">
    <w:name w:val="defterm3"/>
    <w:basedOn w:val="DefaultParagraphFont"/>
    <w:rsid w:val="00416BD1"/>
  </w:style>
  <w:style w:type="character" w:customStyle="1" w:styleId="before4">
    <w:name w:val="before4"/>
    <w:basedOn w:val="DefaultParagraphFont"/>
    <w:rsid w:val="00416BD1"/>
  </w:style>
  <w:style w:type="character" w:customStyle="1" w:styleId="after2">
    <w:name w:val="after2"/>
    <w:basedOn w:val="DefaultParagraphFont"/>
    <w:rsid w:val="00416BD1"/>
  </w:style>
  <w:style w:type="paragraph" w:customStyle="1" w:styleId="ptxt">
    <w:name w:val="ptxt"/>
    <w:basedOn w:val="Normal"/>
    <w:rsid w:val="00416BD1"/>
    <w:pPr>
      <w:spacing w:after="79"/>
    </w:pPr>
    <w:rPr>
      <w:rFonts w:ascii="Times New Roman" w:hAnsi="Times New Roman"/>
      <w:color w:val="auto"/>
      <w:sz w:val="24"/>
      <w:szCs w:val="24"/>
      <w:lang w:val="en-GB" w:eastAsia="en-GB"/>
    </w:rPr>
  </w:style>
  <w:style w:type="character" w:customStyle="1" w:styleId="defterm4">
    <w:name w:val="defterm4"/>
    <w:basedOn w:val="DefaultParagraphFont"/>
    <w:rsid w:val="00416BD1"/>
  </w:style>
  <w:style w:type="character" w:styleId="Emphasis">
    <w:name w:val="Emphasis"/>
    <w:basedOn w:val="DefaultParagraphFont"/>
    <w:qFormat/>
    <w:rsid w:val="0073387E"/>
    <w:rPr>
      <w:i/>
      <w:iCs/>
    </w:rPr>
  </w:style>
  <w:style w:type="table" w:styleId="TableGrid">
    <w:name w:val="Table Grid"/>
    <w:basedOn w:val="TableNormal"/>
    <w:rsid w:val="000B180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13">
    <w:name w:val="lbl13"/>
    <w:basedOn w:val="DefaultParagraphFont"/>
    <w:rsid w:val="000B1803"/>
  </w:style>
  <w:style w:type="paragraph" w:customStyle="1" w:styleId="OutlineNum">
    <w:name w:val="Outline Num"/>
    <w:basedOn w:val="Normal"/>
    <w:next w:val="OutlineNum2"/>
    <w:rsid w:val="000B1803"/>
    <w:pPr>
      <w:numPr>
        <w:numId w:val="6"/>
      </w:numPr>
      <w:suppressLineNumbers/>
      <w:suppressAutoHyphens/>
      <w:outlineLvl w:val="0"/>
    </w:pPr>
    <w:rPr>
      <w:rFonts w:ascii="Times New Roman" w:hAnsi="Times New Roman"/>
      <w:b/>
      <w:color w:val="auto"/>
      <w:sz w:val="24"/>
      <w:lang w:val="en-GB" w:eastAsia="en-GB"/>
    </w:rPr>
  </w:style>
  <w:style w:type="paragraph" w:customStyle="1" w:styleId="OutlineNum2">
    <w:name w:val="Outline Num 2"/>
    <w:basedOn w:val="Normal"/>
    <w:link w:val="OutlineNum2Char"/>
    <w:rsid w:val="000B1803"/>
    <w:pPr>
      <w:numPr>
        <w:ilvl w:val="1"/>
        <w:numId w:val="6"/>
      </w:numPr>
      <w:suppressLineNumbers/>
      <w:suppressAutoHyphens/>
      <w:outlineLvl w:val="1"/>
    </w:pPr>
    <w:rPr>
      <w:rFonts w:ascii="Times New Roman" w:hAnsi="Times New Roman"/>
      <w:color w:val="auto"/>
      <w:sz w:val="24"/>
      <w:lang w:val="en-GB" w:eastAsia="en-GB"/>
    </w:rPr>
  </w:style>
  <w:style w:type="paragraph" w:customStyle="1" w:styleId="OutlineNum3">
    <w:name w:val="Outline Num 3"/>
    <w:basedOn w:val="Normal"/>
    <w:rsid w:val="000B1803"/>
    <w:pPr>
      <w:numPr>
        <w:ilvl w:val="2"/>
        <w:numId w:val="6"/>
      </w:numPr>
      <w:suppressLineNumbers/>
      <w:suppressAutoHyphens/>
      <w:outlineLvl w:val="2"/>
    </w:pPr>
    <w:rPr>
      <w:rFonts w:ascii="Times New Roman" w:hAnsi="Times New Roman"/>
      <w:color w:val="auto"/>
      <w:sz w:val="24"/>
      <w:lang w:val="en-GB" w:eastAsia="en-GB"/>
    </w:rPr>
  </w:style>
  <w:style w:type="character" w:customStyle="1" w:styleId="OutlineNum2Char">
    <w:name w:val="Outline Num 2 Char"/>
    <w:link w:val="OutlineNum2"/>
    <w:rsid w:val="000B1803"/>
    <w:rPr>
      <w:sz w:val="24"/>
      <w:lang w:val="en-GB" w:eastAsia="en-GB"/>
    </w:rPr>
  </w:style>
  <w:style w:type="character" w:styleId="FollowedHyperlink">
    <w:name w:val="FollowedHyperlink"/>
    <w:basedOn w:val="DefaultParagraphFont"/>
    <w:semiHidden/>
    <w:unhideWhenUsed/>
    <w:rsid w:val="00A548E3"/>
    <w:rPr>
      <w:color w:val="009DE0" w:themeColor="followedHyperlink"/>
      <w:u w:val="single"/>
    </w:rPr>
  </w:style>
  <w:style w:type="paragraph" w:styleId="Revision">
    <w:name w:val="Revision"/>
    <w:hidden/>
    <w:uiPriority w:val="99"/>
    <w:semiHidden/>
    <w:rsid w:val="00A548E3"/>
    <w:rPr>
      <w:rFonts w:ascii="Mute" w:hAnsi="Mute"/>
      <w:color w:val="003865"/>
      <w:sz w:val="22"/>
    </w:rPr>
  </w:style>
  <w:style w:type="paragraph" w:styleId="NormalIndent">
    <w:name w:val="Normal Indent"/>
    <w:basedOn w:val="Normal"/>
    <w:uiPriority w:val="99"/>
    <w:semiHidden/>
    <w:unhideWhenUsed/>
    <w:rsid w:val="00801535"/>
    <w:pPr>
      <w:numPr>
        <w:numId w:val="7"/>
      </w:numPr>
      <w:suppressLineNumbers/>
      <w:suppressAutoHyphens/>
      <w:outlineLvl w:val="0"/>
    </w:pPr>
    <w:rPr>
      <w:rFonts w:ascii="Times New Roman" w:hAnsi="Times New Roman"/>
      <w:color w:val="auto"/>
      <w:sz w:val="24"/>
      <w:lang w:val="en-GB" w:eastAsia="en-GB"/>
    </w:rPr>
  </w:style>
  <w:style w:type="character" w:customStyle="1" w:styleId="A7">
    <w:name w:val="A7"/>
    <w:uiPriority w:val="99"/>
    <w:rsid w:val="00FD4BAE"/>
    <w:rPr>
      <w:rFonts w:cs="Roboto Light"/>
      <w:color w:val="000000"/>
      <w:sz w:val="10"/>
      <w:szCs w:val="10"/>
    </w:rPr>
  </w:style>
  <w:style w:type="paragraph" w:customStyle="1" w:styleId="Default">
    <w:name w:val="Default"/>
    <w:rsid w:val="00E6740E"/>
    <w:pPr>
      <w:autoSpaceDE w:val="0"/>
      <w:autoSpaceDN w:val="0"/>
      <w:adjustRightInd w:val="0"/>
    </w:pPr>
    <w:rPr>
      <w:rFonts w:ascii="Roboto" w:hAnsi="Roboto" w:cs="Roboto"/>
      <w:color w:val="000000"/>
      <w:sz w:val="24"/>
      <w:szCs w:val="24"/>
      <w:lang w:val="en-GB"/>
    </w:rPr>
  </w:style>
  <w:style w:type="paragraph" w:styleId="PlainText">
    <w:name w:val="Plain Text"/>
    <w:basedOn w:val="Normal"/>
    <w:link w:val="PlainTextChar"/>
    <w:uiPriority w:val="99"/>
    <w:semiHidden/>
    <w:unhideWhenUsed/>
    <w:rsid w:val="00E6740E"/>
    <w:pPr>
      <w:spacing w:after="0"/>
    </w:pPr>
    <w:rPr>
      <w:rFonts w:ascii="Arial" w:eastAsiaTheme="minorHAnsi" w:hAnsi="Arial" w:cs="Arial"/>
      <w:color w:val="auto"/>
      <w:sz w:val="20"/>
      <w:lang w:val="en-GB" w:eastAsia="en-GB"/>
    </w:rPr>
  </w:style>
  <w:style w:type="character" w:customStyle="1" w:styleId="PlainTextChar">
    <w:name w:val="Plain Text Char"/>
    <w:basedOn w:val="DefaultParagraphFont"/>
    <w:link w:val="PlainText"/>
    <w:uiPriority w:val="99"/>
    <w:semiHidden/>
    <w:rsid w:val="00E6740E"/>
    <w:rPr>
      <w:rFonts w:ascii="Arial" w:eastAsiaTheme="minorHAnsi" w:hAnsi="Arial" w:cs="Arial"/>
      <w:lang w:val="en-GB" w:eastAsia="en-GB"/>
    </w:rPr>
  </w:style>
  <w:style w:type="character" w:customStyle="1" w:styleId="A21">
    <w:name w:val="A21"/>
    <w:uiPriority w:val="99"/>
    <w:rsid w:val="0035225F"/>
    <w:rPr>
      <w:rFonts w:cs="Roboto"/>
      <w:color w:val="000000"/>
      <w:sz w:val="28"/>
      <w:szCs w:val="28"/>
    </w:rPr>
  </w:style>
  <w:style w:type="paragraph" w:customStyle="1" w:styleId="DocumentText">
    <w:name w:val="*Document Text"/>
    <w:basedOn w:val="Normal"/>
    <w:link w:val="DocumentTextChar"/>
    <w:qFormat/>
    <w:rsid w:val="00D63B2A"/>
    <w:pPr>
      <w:spacing w:before="120" w:after="120" w:line="300" w:lineRule="atLeast"/>
    </w:pPr>
    <w:rPr>
      <w:color w:val="003865" w:themeColor="text1"/>
      <w:sz w:val="20"/>
      <w:szCs w:val="22"/>
    </w:rPr>
  </w:style>
  <w:style w:type="character" w:customStyle="1" w:styleId="DocumentTextChar">
    <w:name w:val="*Document Text Char"/>
    <w:basedOn w:val="DefaultParagraphFont"/>
    <w:link w:val="DocumentText"/>
    <w:rsid w:val="00D63B2A"/>
    <w:rPr>
      <w:rFonts w:ascii="Mute" w:hAnsi="Mute"/>
      <w:color w:val="003865"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6059">
      <w:bodyDiv w:val="1"/>
      <w:marLeft w:val="0"/>
      <w:marRight w:val="0"/>
      <w:marTop w:val="0"/>
      <w:marBottom w:val="0"/>
      <w:divBdr>
        <w:top w:val="none" w:sz="0" w:space="0" w:color="auto"/>
        <w:left w:val="none" w:sz="0" w:space="0" w:color="auto"/>
        <w:bottom w:val="none" w:sz="0" w:space="0" w:color="auto"/>
        <w:right w:val="none" w:sz="0" w:space="0" w:color="auto"/>
      </w:divBdr>
    </w:div>
    <w:div w:id="388967163">
      <w:bodyDiv w:val="1"/>
      <w:marLeft w:val="0"/>
      <w:marRight w:val="0"/>
      <w:marTop w:val="0"/>
      <w:marBottom w:val="0"/>
      <w:divBdr>
        <w:top w:val="none" w:sz="0" w:space="0" w:color="auto"/>
        <w:left w:val="none" w:sz="0" w:space="0" w:color="auto"/>
        <w:bottom w:val="none" w:sz="0" w:space="0" w:color="auto"/>
        <w:right w:val="none" w:sz="0" w:space="0" w:color="auto"/>
      </w:divBdr>
      <w:divsChild>
        <w:div w:id="179973554">
          <w:marLeft w:val="274"/>
          <w:marRight w:val="0"/>
          <w:marTop w:val="0"/>
          <w:marBottom w:val="0"/>
          <w:divBdr>
            <w:top w:val="none" w:sz="0" w:space="0" w:color="auto"/>
            <w:left w:val="none" w:sz="0" w:space="0" w:color="auto"/>
            <w:bottom w:val="none" w:sz="0" w:space="0" w:color="auto"/>
            <w:right w:val="none" w:sz="0" w:space="0" w:color="auto"/>
          </w:divBdr>
        </w:div>
        <w:div w:id="1559516160">
          <w:marLeft w:val="274"/>
          <w:marRight w:val="0"/>
          <w:marTop w:val="0"/>
          <w:marBottom w:val="0"/>
          <w:divBdr>
            <w:top w:val="none" w:sz="0" w:space="0" w:color="auto"/>
            <w:left w:val="none" w:sz="0" w:space="0" w:color="auto"/>
            <w:bottom w:val="none" w:sz="0" w:space="0" w:color="auto"/>
            <w:right w:val="none" w:sz="0" w:space="0" w:color="auto"/>
          </w:divBdr>
        </w:div>
      </w:divsChild>
    </w:div>
    <w:div w:id="501898147">
      <w:bodyDiv w:val="1"/>
      <w:marLeft w:val="0"/>
      <w:marRight w:val="0"/>
      <w:marTop w:val="0"/>
      <w:marBottom w:val="0"/>
      <w:divBdr>
        <w:top w:val="none" w:sz="0" w:space="0" w:color="auto"/>
        <w:left w:val="none" w:sz="0" w:space="0" w:color="auto"/>
        <w:bottom w:val="none" w:sz="0" w:space="0" w:color="auto"/>
        <w:right w:val="none" w:sz="0" w:space="0" w:color="auto"/>
      </w:divBdr>
    </w:div>
    <w:div w:id="536816775">
      <w:bodyDiv w:val="1"/>
      <w:marLeft w:val="0"/>
      <w:marRight w:val="0"/>
      <w:marTop w:val="0"/>
      <w:marBottom w:val="0"/>
      <w:divBdr>
        <w:top w:val="none" w:sz="0" w:space="0" w:color="auto"/>
        <w:left w:val="none" w:sz="0" w:space="0" w:color="auto"/>
        <w:bottom w:val="none" w:sz="0" w:space="0" w:color="auto"/>
        <w:right w:val="none" w:sz="0" w:space="0" w:color="auto"/>
      </w:divBdr>
      <w:divsChild>
        <w:div w:id="356658504">
          <w:marLeft w:val="360"/>
          <w:marRight w:val="0"/>
          <w:marTop w:val="240"/>
          <w:marBottom w:val="0"/>
          <w:divBdr>
            <w:top w:val="none" w:sz="0" w:space="0" w:color="auto"/>
            <w:left w:val="none" w:sz="0" w:space="0" w:color="auto"/>
            <w:bottom w:val="none" w:sz="0" w:space="0" w:color="auto"/>
            <w:right w:val="none" w:sz="0" w:space="0" w:color="auto"/>
          </w:divBdr>
        </w:div>
        <w:div w:id="1510487258">
          <w:marLeft w:val="720"/>
          <w:marRight w:val="0"/>
          <w:marTop w:val="240"/>
          <w:marBottom w:val="0"/>
          <w:divBdr>
            <w:top w:val="none" w:sz="0" w:space="0" w:color="auto"/>
            <w:left w:val="none" w:sz="0" w:space="0" w:color="auto"/>
            <w:bottom w:val="none" w:sz="0" w:space="0" w:color="auto"/>
            <w:right w:val="none" w:sz="0" w:space="0" w:color="auto"/>
          </w:divBdr>
        </w:div>
        <w:div w:id="2013529158">
          <w:marLeft w:val="720"/>
          <w:marRight w:val="0"/>
          <w:marTop w:val="240"/>
          <w:marBottom w:val="0"/>
          <w:divBdr>
            <w:top w:val="none" w:sz="0" w:space="0" w:color="auto"/>
            <w:left w:val="none" w:sz="0" w:space="0" w:color="auto"/>
            <w:bottom w:val="none" w:sz="0" w:space="0" w:color="auto"/>
            <w:right w:val="none" w:sz="0" w:space="0" w:color="auto"/>
          </w:divBdr>
        </w:div>
      </w:divsChild>
    </w:div>
    <w:div w:id="584650970">
      <w:bodyDiv w:val="1"/>
      <w:marLeft w:val="0"/>
      <w:marRight w:val="0"/>
      <w:marTop w:val="0"/>
      <w:marBottom w:val="0"/>
      <w:divBdr>
        <w:top w:val="none" w:sz="0" w:space="0" w:color="auto"/>
        <w:left w:val="none" w:sz="0" w:space="0" w:color="auto"/>
        <w:bottom w:val="none" w:sz="0" w:space="0" w:color="auto"/>
        <w:right w:val="none" w:sz="0" w:space="0" w:color="auto"/>
      </w:divBdr>
    </w:div>
    <w:div w:id="666134006">
      <w:bodyDiv w:val="1"/>
      <w:marLeft w:val="0"/>
      <w:marRight w:val="0"/>
      <w:marTop w:val="0"/>
      <w:marBottom w:val="0"/>
      <w:divBdr>
        <w:top w:val="none" w:sz="0" w:space="0" w:color="auto"/>
        <w:left w:val="none" w:sz="0" w:space="0" w:color="auto"/>
        <w:bottom w:val="none" w:sz="0" w:space="0" w:color="auto"/>
        <w:right w:val="none" w:sz="0" w:space="0" w:color="auto"/>
      </w:divBdr>
    </w:div>
    <w:div w:id="703601594">
      <w:bodyDiv w:val="1"/>
      <w:marLeft w:val="0"/>
      <w:marRight w:val="0"/>
      <w:marTop w:val="0"/>
      <w:marBottom w:val="0"/>
      <w:divBdr>
        <w:top w:val="none" w:sz="0" w:space="0" w:color="auto"/>
        <w:left w:val="none" w:sz="0" w:space="0" w:color="auto"/>
        <w:bottom w:val="none" w:sz="0" w:space="0" w:color="auto"/>
        <w:right w:val="none" w:sz="0" w:space="0" w:color="auto"/>
      </w:divBdr>
    </w:div>
    <w:div w:id="809594683">
      <w:bodyDiv w:val="1"/>
      <w:marLeft w:val="0"/>
      <w:marRight w:val="0"/>
      <w:marTop w:val="0"/>
      <w:marBottom w:val="0"/>
      <w:divBdr>
        <w:top w:val="none" w:sz="0" w:space="0" w:color="auto"/>
        <w:left w:val="none" w:sz="0" w:space="0" w:color="auto"/>
        <w:bottom w:val="none" w:sz="0" w:space="0" w:color="auto"/>
        <w:right w:val="none" w:sz="0" w:space="0" w:color="auto"/>
      </w:divBdr>
      <w:divsChild>
        <w:div w:id="50810846">
          <w:marLeft w:val="274"/>
          <w:marRight w:val="0"/>
          <w:marTop w:val="0"/>
          <w:marBottom w:val="0"/>
          <w:divBdr>
            <w:top w:val="none" w:sz="0" w:space="0" w:color="auto"/>
            <w:left w:val="none" w:sz="0" w:space="0" w:color="auto"/>
            <w:bottom w:val="none" w:sz="0" w:space="0" w:color="auto"/>
            <w:right w:val="none" w:sz="0" w:space="0" w:color="auto"/>
          </w:divBdr>
        </w:div>
        <w:div w:id="354771019">
          <w:marLeft w:val="274"/>
          <w:marRight w:val="0"/>
          <w:marTop w:val="0"/>
          <w:marBottom w:val="0"/>
          <w:divBdr>
            <w:top w:val="none" w:sz="0" w:space="0" w:color="auto"/>
            <w:left w:val="none" w:sz="0" w:space="0" w:color="auto"/>
            <w:bottom w:val="none" w:sz="0" w:space="0" w:color="auto"/>
            <w:right w:val="none" w:sz="0" w:space="0" w:color="auto"/>
          </w:divBdr>
        </w:div>
        <w:div w:id="1186676106">
          <w:marLeft w:val="274"/>
          <w:marRight w:val="0"/>
          <w:marTop w:val="0"/>
          <w:marBottom w:val="0"/>
          <w:divBdr>
            <w:top w:val="none" w:sz="0" w:space="0" w:color="auto"/>
            <w:left w:val="none" w:sz="0" w:space="0" w:color="auto"/>
            <w:bottom w:val="none" w:sz="0" w:space="0" w:color="auto"/>
            <w:right w:val="none" w:sz="0" w:space="0" w:color="auto"/>
          </w:divBdr>
        </w:div>
        <w:div w:id="1349719056">
          <w:marLeft w:val="274"/>
          <w:marRight w:val="0"/>
          <w:marTop w:val="0"/>
          <w:marBottom w:val="0"/>
          <w:divBdr>
            <w:top w:val="none" w:sz="0" w:space="0" w:color="auto"/>
            <w:left w:val="none" w:sz="0" w:space="0" w:color="auto"/>
            <w:bottom w:val="none" w:sz="0" w:space="0" w:color="auto"/>
            <w:right w:val="none" w:sz="0" w:space="0" w:color="auto"/>
          </w:divBdr>
        </w:div>
        <w:div w:id="1920139998">
          <w:marLeft w:val="274"/>
          <w:marRight w:val="0"/>
          <w:marTop w:val="0"/>
          <w:marBottom w:val="0"/>
          <w:divBdr>
            <w:top w:val="none" w:sz="0" w:space="0" w:color="auto"/>
            <w:left w:val="none" w:sz="0" w:space="0" w:color="auto"/>
            <w:bottom w:val="none" w:sz="0" w:space="0" w:color="auto"/>
            <w:right w:val="none" w:sz="0" w:space="0" w:color="auto"/>
          </w:divBdr>
        </w:div>
      </w:divsChild>
    </w:div>
    <w:div w:id="847478783">
      <w:bodyDiv w:val="1"/>
      <w:marLeft w:val="0"/>
      <w:marRight w:val="0"/>
      <w:marTop w:val="0"/>
      <w:marBottom w:val="0"/>
      <w:divBdr>
        <w:top w:val="none" w:sz="0" w:space="0" w:color="auto"/>
        <w:left w:val="none" w:sz="0" w:space="0" w:color="auto"/>
        <w:bottom w:val="none" w:sz="0" w:space="0" w:color="auto"/>
        <w:right w:val="none" w:sz="0" w:space="0" w:color="auto"/>
      </w:divBdr>
      <w:divsChild>
        <w:div w:id="410275833">
          <w:marLeft w:val="274"/>
          <w:marRight w:val="0"/>
          <w:marTop w:val="0"/>
          <w:marBottom w:val="0"/>
          <w:divBdr>
            <w:top w:val="none" w:sz="0" w:space="0" w:color="auto"/>
            <w:left w:val="none" w:sz="0" w:space="0" w:color="auto"/>
            <w:bottom w:val="none" w:sz="0" w:space="0" w:color="auto"/>
            <w:right w:val="none" w:sz="0" w:space="0" w:color="auto"/>
          </w:divBdr>
        </w:div>
        <w:div w:id="1352217862">
          <w:marLeft w:val="274"/>
          <w:marRight w:val="0"/>
          <w:marTop w:val="0"/>
          <w:marBottom w:val="0"/>
          <w:divBdr>
            <w:top w:val="none" w:sz="0" w:space="0" w:color="auto"/>
            <w:left w:val="none" w:sz="0" w:space="0" w:color="auto"/>
            <w:bottom w:val="none" w:sz="0" w:space="0" w:color="auto"/>
            <w:right w:val="none" w:sz="0" w:space="0" w:color="auto"/>
          </w:divBdr>
        </w:div>
      </w:divsChild>
    </w:div>
    <w:div w:id="911082773">
      <w:bodyDiv w:val="1"/>
      <w:marLeft w:val="0"/>
      <w:marRight w:val="0"/>
      <w:marTop w:val="0"/>
      <w:marBottom w:val="0"/>
      <w:divBdr>
        <w:top w:val="none" w:sz="0" w:space="0" w:color="auto"/>
        <w:left w:val="none" w:sz="0" w:space="0" w:color="auto"/>
        <w:bottom w:val="none" w:sz="0" w:space="0" w:color="auto"/>
        <w:right w:val="none" w:sz="0" w:space="0" w:color="auto"/>
      </w:divBdr>
    </w:div>
    <w:div w:id="916401070">
      <w:bodyDiv w:val="1"/>
      <w:marLeft w:val="0"/>
      <w:marRight w:val="0"/>
      <w:marTop w:val="0"/>
      <w:marBottom w:val="0"/>
      <w:divBdr>
        <w:top w:val="none" w:sz="0" w:space="0" w:color="auto"/>
        <w:left w:val="none" w:sz="0" w:space="0" w:color="auto"/>
        <w:bottom w:val="none" w:sz="0" w:space="0" w:color="auto"/>
        <w:right w:val="none" w:sz="0" w:space="0" w:color="auto"/>
      </w:divBdr>
    </w:div>
    <w:div w:id="1040667606">
      <w:bodyDiv w:val="1"/>
      <w:marLeft w:val="0"/>
      <w:marRight w:val="0"/>
      <w:marTop w:val="0"/>
      <w:marBottom w:val="0"/>
      <w:divBdr>
        <w:top w:val="none" w:sz="0" w:space="0" w:color="auto"/>
        <w:left w:val="none" w:sz="0" w:space="0" w:color="auto"/>
        <w:bottom w:val="none" w:sz="0" w:space="0" w:color="auto"/>
        <w:right w:val="none" w:sz="0" w:space="0" w:color="auto"/>
      </w:divBdr>
    </w:div>
    <w:div w:id="1112213174">
      <w:bodyDiv w:val="1"/>
      <w:marLeft w:val="0"/>
      <w:marRight w:val="0"/>
      <w:marTop w:val="0"/>
      <w:marBottom w:val="0"/>
      <w:divBdr>
        <w:top w:val="none" w:sz="0" w:space="0" w:color="auto"/>
        <w:left w:val="none" w:sz="0" w:space="0" w:color="auto"/>
        <w:bottom w:val="none" w:sz="0" w:space="0" w:color="auto"/>
        <w:right w:val="none" w:sz="0" w:space="0" w:color="auto"/>
      </w:divBdr>
    </w:div>
    <w:div w:id="1115254842">
      <w:bodyDiv w:val="1"/>
      <w:marLeft w:val="0"/>
      <w:marRight w:val="0"/>
      <w:marTop w:val="0"/>
      <w:marBottom w:val="0"/>
      <w:divBdr>
        <w:top w:val="none" w:sz="0" w:space="0" w:color="auto"/>
        <w:left w:val="none" w:sz="0" w:space="0" w:color="auto"/>
        <w:bottom w:val="none" w:sz="0" w:space="0" w:color="auto"/>
        <w:right w:val="none" w:sz="0" w:space="0" w:color="auto"/>
      </w:divBdr>
    </w:div>
    <w:div w:id="1245990211">
      <w:bodyDiv w:val="1"/>
      <w:marLeft w:val="0"/>
      <w:marRight w:val="0"/>
      <w:marTop w:val="0"/>
      <w:marBottom w:val="0"/>
      <w:divBdr>
        <w:top w:val="none" w:sz="0" w:space="0" w:color="auto"/>
        <w:left w:val="none" w:sz="0" w:space="0" w:color="auto"/>
        <w:bottom w:val="none" w:sz="0" w:space="0" w:color="auto"/>
        <w:right w:val="none" w:sz="0" w:space="0" w:color="auto"/>
      </w:divBdr>
    </w:div>
    <w:div w:id="1292057747">
      <w:bodyDiv w:val="1"/>
      <w:marLeft w:val="0"/>
      <w:marRight w:val="0"/>
      <w:marTop w:val="0"/>
      <w:marBottom w:val="0"/>
      <w:divBdr>
        <w:top w:val="none" w:sz="0" w:space="0" w:color="auto"/>
        <w:left w:val="none" w:sz="0" w:space="0" w:color="auto"/>
        <w:bottom w:val="none" w:sz="0" w:space="0" w:color="auto"/>
        <w:right w:val="none" w:sz="0" w:space="0" w:color="auto"/>
      </w:divBdr>
    </w:div>
    <w:div w:id="1303462323">
      <w:bodyDiv w:val="1"/>
      <w:marLeft w:val="0"/>
      <w:marRight w:val="0"/>
      <w:marTop w:val="0"/>
      <w:marBottom w:val="0"/>
      <w:divBdr>
        <w:top w:val="none" w:sz="0" w:space="0" w:color="auto"/>
        <w:left w:val="none" w:sz="0" w:space="0" w:color="auto"/>
        <w:bottom w:val="none" w:sz="0" w:space="0" w:color="auto"/>
        <w:right w:val="none" w:sz="0" w:space="0" w:color="auto"/>
      </w:divBdr>
    </w:div>
    <w:div w:id="1335917984">
      <w:bodyDiv w:val="1"/>
      <w:marLeft w:val="0"/>
      <w:marRight w:val="0"/>
      <w:marTop w:val="0"/>
      <w:marBottom w:val="0"/>
      <w:divBdr>
        <w:top w:val="none" w:sz="0" w:space="0" w:color="auto"/>
        <w:left w:val="none" w:sz="0" w:space="0" w:color="auto"/>
        <w:bottom w:val="none" w:sz="0" w:space="0" w:color="auto"/>
        <w:right w:val="none" w:sz="0" w:space="0" w:color="auto"/>
      </w:divBdr>
      <w:divsChild>
        <w:div w:id="1392734148">
          <w:marLeft w:val="274"/>
          <w:marRight w:val="0"/>
          <w:marTop w:val="0"/>
          <w:marBottom w:val="0"/>
          <w:divBdr>
            <w:top w:val="none" w:sz="0" w:space="0" w:color="auto"/>
            <w:left w:val="none" w:sz="0" w:space="0" w:color="auto"/>
            <w:bottom w:val="none" w:sz="0" w:space="0" w:color="auto"/>
            <w:right w:val="none" w:sz="0" w:space="0" w:color="auto"/>
          </w:divBdr>
        </w:div>
        <w:div w:id="1408258840">
          <w:marLeft w:val="274"/>
          <w:marRight w:val="0"/>
          <w:marTop w:val="0"/>
          <w:marBottom w:val="0"/>
          <w:divBdr>
            <w:top w:val="none" w:sz="0" w:space="0" w:color="auto"/>
            <w:left w:val="none" w:sz="0" w:space="0" w:color="auto"/>
            <w:bottom w:val="none" w:sz="0" w:space="0" w:color="auto"/>
            <w:right w:val="none" w:sz="0" w:space="0" w:color="auto"/>
          </w:divBdr>
        </w:div>
      </w:divsChild>
    </w:div>
    <w:div w:id="1433207211">
      <w:bodyDiv w:val="1"/>
      <w:marLeft w:val="0"/>
      <w:marRight w:val="0"/>
      <w:marTop w:val="0"/>
      <w:marBottom w:val="0"/>
      <w:divBdr>
        <w:top w:val="none" w:sz="0" w:space="0" w:color="auto"/>
        <w:left w:val="none" w:sz="0" w:space="0" w:color="auto"/>
        <w:bottom w:val="none" w:sz="0" w:space="0" w:color="auto"/>
        <w:right w:val="none" w:sz="0" w:space="0" w:color="auto"/>
      </w:divBdr>
    </w:div>
    <w:div w:id="1477985890">
      <w:bodyDiv w:val="1"/>
      <w:marLeft w:val="0"/>
      <w:marRight w:val="0"/>
      <w:marTop w:val="0"/>
      <w:marBottom w:val="0"/>
      <w:divBdr>
        <w:top w:val="none" w:sz="0" w:space="0" w:color="auto"/>
        <w:left w:val="none" w:sz="0" w:space="0" w:color="auto"/>
        <w:bottom w:val="none" w:sz="0" w:space="0" w:color="auto"/>
        <w:right w:val="none" w:sz="0" w:space="0" w:color="auto"/>
      </w:divBdr>
      <w:divsChild>
        <w:div w:id="19012394">
          <w:marLeft w:val="720"/>
          <w:marRight w:val="0"/>
          <w:marTop w:val="240"/>
          <w:marBottom w:val="0"/>
          <w:divBdr>
            <w:top w:val="none" w:sz="0" w:space="0" w:color="auto"/>
            <w:left w:val="none" w:sz="0" w:space="0" w:color="auto"/>
            <w:bottom w:val="none" w:sz="0" w:space="0" w:color="auto"/>
            <w:right w:val="none" w:sz="0" w:space="0" w:color="auto"/>
          </w:divBdr>
        </w:div>
        <w:div w:id="50008588">
          <w:marLeft w:val="720"/>
          <w:marRight w:val="0"/>
          <w:marTop w:val="240"/>
          <w:marBottom w:val="0"/>
          <w:divBdr>
            <w:top w:val="none" w:sz="0" w:space="0" w:color="auto"/>
            <w:left w:val="none" w:sz="0" w:space="0" w:color="auto"/>
            <w:bottom w:val="none" w:sz="0" w:space="0" w:color="auto"/>
            <w:right w:val="none" w:sz="0" w:space="0" w:color="auto"/>
          </w:divBdr>
        </w:div>
        <w:div w:id="633175588">
          <w:marLeft w:val="720"/>
          <w:marRight w:val="0"/>
          <w:marTop w:val="240"/>
          <w:marBottom w:val="0"/>
          <w:divBdr>
            <w:top w:val="none" w:sz="0" w:space="0" w:color="auto"/>
            <w:left w:val="none" w:sz="0" w:space="0" w:color="auto"/>
            <w:bottom w:val="none" w:sz="0" w:space="0" w:color="auto"/>
            <w:right w:val="none" w:sz="0" w:space="0" w:color="auto"/>
          </w:divBdr>
        </w:div>
        <w:div w:id="633946860">
          <w:marLeft w:val="360"/>
          <w:marRight w:val="0"/>
          <w:marTop w:val="240"/>
          <w:marBottom w:val="0"/>
          <w:divBdr>
            <w:top w:val="none" w:sz="0" w:space="0" w:color="auto"/>
            <w:left w:val="none" w:sz="0" w:space="0" w:color="auto"/>
            <w:bottom w:val="none" w:sz="0" w:space="0" w:color="auto"/>
            <w:right w:val="none" w:sz="0" w:space="0" w:color="auto"/>
          </w:divBdr>
        </w:div>
        <w:div w:id="683286165">
          <w:marLeft w:val="720"/>
          <w:marRight w:val="0"/>
          <w:marTop w:val="240"/>
          <w:marBottom w:val="0"/>
          <w:divBdr>
            <w:top w:val="none" w:sz="0" w:space="0" w:color="auto"/>
            <w:left w:val="none" w:sz="0" w:space="0" w:color="auto"/>
            <w:bottom w:val="none" w:sz="0" w:space="0" w:color="auto"/>
            <w:right w:val="none" w:sz="0" w:space="0" w:color="auto"/>
          </w:divBdr>
        </w:div>
        <w:div w:id="1248419585">
          <w:marLeft w:val="360"/>
          <w:marRight w:val="0"/>
          <w:marTop w:val="240"/>
          <w:marBottom w:val="0"/>
          <w:divBdr>
            <w:top w:val="none" w:sz="0" w:space="0" w:color="auto"/>
            <w:left w:val="none" w:sz="0" w:space="0" w:color="auto"/>
            <w:bottom w:val="none" w:sz="0" w:space="0" w:color="auto"/>
            <w:right w:val="none" w:sz="0" w:space="0" w:color="auto"/>
          </w:divBdr>
        </w:div>
        <w:div w:id="1641300904">
          <w:marLeft w:val="720"/>
          <w:marRight w:val="0"/>
          <w:marTop w:val="240"/>
          <w:marBottom w:val="0"/>
          <w:divBdr>
            <w:top w:val="none" w:sz="0" w:space="0" w:color="auto"/>
            <w:left w:val="none" w:sz="0" w:space="0" w:color="auto"/>
            <w:bottom w:val="none" w:sz="0" w:space="0" w:color="auto"/>
            <w:right w:val="none" w:sz="0" w:space="0" w:color="auto"/>
          </w:divBdr>
        </w:div>
      </w:divsChild>
    </w:div>
    <w:div w:id="1531063294">
      <w:bodyDiv w:val="1"/>
      <w:marLeft w:val="0"/>
      <w:marRight w:val="0"/>
      <w:marTop w:val="0"/>
      <w:marBottom w:val="0"/>
      <w:divBdr>
        <w:top w:val="none" w:sz="0" w:space="0" w:color="auto"/>
        <w:left w:val="none" w:sz="0" w:space="0" w:color="auto"/>
        <w:bottom w:val="none" w:sz="0" w:space="0" w:color="auto"/>
        <w:right w:val="none" w:sz="0" w:space="0" w:color="auto"/>
      </w:divBdr>
    </w:div>
    <w:div w:id="1621302036">
      <w:bodyDiv w:val="1"/>
      <w:marLeft w:val="0"/>
      <w:marRight w:val="0"/>
      <w:marTop w:val="0"/>
      <w:marBottom w:val="0"/>
      <w:divBdr>
        <w:top w:val="none" w:sz="0" w:space="0" w:color="auto"/>
        <w:left w:val="none" w:sz="0" w:space="0" w:color="auto"/>
        <w:bottom w:val="none" w:sz="0" w:space="0" w:color="auto"/>
        <w:right w:val="none" w:sz="0" w:space="0" w:color="auto"/>
      </w:divBdr>
      <w:divsChild>
        <w:div w:id="181667808">
          <w:marLeft w:val="720"/>
          <w:marRight w:val="0"/>
          <w:marTop w:val="240"/>
          <w:marBottom w:val="0"/>
          <w:divBdr>
            <w:top w:val="none" w:sz="0" w:space="0" w:color="auto"/>
            <w:left w:val="none" w:sz="0" w:space="0" w:color="auto"/>
            <w:bottom w:val="none" w:sz="0" w:space="0" w:color="auto"/>
            <w:right w:val="none" w:sz="0" w:space="0" w:color="auto"/>
          </w:divBdr>
        </w:div>
        <w:div w:id="590704593">
          <w:marLeft w:val="720"/>
          <w:marRight w:val="0"/>
          <w:marTop w:val="240"/>
          <w:marBottom w:val="0"/>
          <w:divBdr>
            <w:top w:val="none" w:sz="0" w:space="0" w:color="auto"/>
            <w:left w:val="none" w:sz="0" w:space="0" w:color="auto"/>
            <w:bottom w:val="none" w:sz="0" w:space="0" w:color="auto"/>
            <w:right w:val="none" w:sz="0" w:space="0" w:color="auto"/>
          </w:divBdr>
        </w:div>
        <w:div w:id="640228450">
          <w:marLeft w:val="720"/>
          <w:marRight w:val="0"/>
          <w:marTop w:val="240"/>
          <w:marBottom w:val="0"/>
          <w:divBdr>
            <w:top w:val="none" w:sz="0" w:space="0" w:color="auto"/>
            <w:left w:val="none" w:sz="0" w:space="0" w:color="auto"/>
            <w:bottom w:val="none" w:sz="0" w:space="0" w:color="auto"/>
            <w:right w:val="none" w:sz="0" w:space="0" w:color="auto"/>
          </w:divBdr>
        </w:div>
        <w:div w:id="1113287599">
          <w:marLeft w:val="720"/>
          <w:marRight w:val="0"/>
          <w:marTop w:val="240"/>
          <w:marBottom w:val="0"/>
          <w:divBdr>
            <w:top w:val="none" w:sz="0" w:space="0" w:color="auto"/>
            <w:left w:val="none" w:sz="0" w:space="0" w:color="auto"/>
            <w:bottom w:val="none" w:sz="0" w:space="0" w:color="auto"/>
            <w:right w:val="none" w:sz="0" w:space="0" w:color="auto"/>
          </w:divBdr>
        </w:div>
        <w:div w:id="1190483659">
          <w:marLeft w:val="720"/>
          <w:marRight w:val="0"/>
          <w:marTop w:val="240"/>
          <w:marBottom w:val="0"/>
          <w:divBdr>
            <w:top w:val="none" w:sz="0" w:space="0" w:color="auto"/>
            <w:left w:val="none" w:sz="0" w:space="0" w:color="auto"/>
            <w:bottom w:val="none" w:sz="0" w:space="0" w:color="auto"/>
            <w:right w:val="none" w:sz="0" w:space="0" w:color="auto"/>
          </w:divBdr>
        </w:div>
      </w:divsChild>
    </w:div>
    <w:div w:id="1645890163">
      <w:bodyDiv w:val="1"/>
      <w:marLeft w:val="0"/>
      <w:marRight w:val="0"/>
      <w:marTop w:val="0"/>
      <w:marBottom w:val="0"/>
      <w:divBdr>
        <w:top w:val="none" w:sz="0" w:space="0" w:color="auto"/>
        <w:left w:val="none" w:sz="0" w:space="0" w:color="auto"/>
        <w:bottom w:val="none" w:sz="0" w:space="0" w:color="auto"/>
        <w:right w:val="none" w:sz="0" w:space="0" w:color="auto"/>
      </w:divBdr>
      <w:divsChild>
        <w:div w:id="1747416741">
          <w:marLeft w:val="1080"/>
          <w:marRight w:val="0"/>
          <w:marTop w:val="240"/>
          <w:marBottom w:val="0"/>
          <w:divBdr>
            <w:top w:val="none" w:sz="0" w:space="0" w:color="auto"/>
            <w:left w:val="none" w:sz="0" w:space="0" w:color="auto"/>
            <w:bottom w:val="none" w:sz="0" w:space="0" w:color="auto"/>
            <w:right w:val="none" w:sz="0" w:space="0" w:color="auto"/>
          </w:divBdr>
        </w:div>
        <w:div w:id="1855219848">
          <w:marLeft w:val="1080"/>
          <w:marRight w:val="0"/>
          <w:marTop w:val="240"/>
          <w:marBottom w:val="120"/>
          <w:divBdr>
            <w:top w:val="none" w:sz="0" w:space="0" w:color="auto"/>
            <w:left w:val="none" w:sz="0" w:space="0" w:color="auto"/>
            <w:bottom w:val="none" w:sz="0" w:space="0" w:color="auto"/>
            <w:right w:val="none" w:sz="0" w:space="0" w:color="auto"/>
          </w:divBdr>
        </w:div>
      </w:divsChild>
    </w:div>
    <w:div w:id="1725829352">
      <w:bodyDiv w:val="1"/>
      <w:marLeft w:val="0"/>
      <w:marRight w:val="0"/>
      <w:marTop w:val="0"/>
      <w:marBottom w:val="0"/>
      <w:divBdr>
        <w:top w:val="none" w:sz="0" w:space="0" w:color="auto"/>
        <w:left w:val="none" w:sz="0" w:space="0" w:color="auto"/>
        <w:bottom w:val="none" w:sz="0" w:space="0" w:color="auto"/>
        <w:right w:val="none" w:sz="0" w:space="0" w:color="auto"/>
      </w:divBdr>
    </w:div>
    <w:div w:id="1792672956">
      <w:bodyDiv w:val="1"/>
      <w:marLeft w:val="0"/>
      <w:marRight w:val="0"/>
      <w:marTop w:val="0"/>
      <w:marBottom w:val="0"/>
      <w:divBdr>
        <w:top w:val="none" w:sz="0" w:space="0" w:color="auto"/>
        <w:left w:val="none" w:sz="0" w:space="0" w:color="auto"/>
        <w:bottom w:val="none" w:sz="0" w:space="0" w:color="auto"/>
        <w:right w:val="none" w:sz="0" w:space="0" w:color="auto"/>
      </w:divBdr>
      <w:divsChild>
        <w:div w:id="951127429">
          <w:marLeft w:val="274"/>
          <w:marRight w:val="0"/>
          <w:marTop w:val="0"/>
          <w:marBottom w:val="0"/>
          <w:divBdr>
            <w:top w:val="none" w:sz="0" w:space="0" w:color="auto"/>
            <w:left w:val="none" w:sz="0" w:space="0" w:color="auto"/>
            <w:bottom w:val="none" w:sz="0" w:space="0" w:color="auto"/>
            <w:right w:val="none" w:sz="0" w:space="0" w:color="auto"/>
          </w:divBdr>
        </w:div>
        <w:div w:id="1040667466">
          <w:marLeft w:val="274"/>
          <w:marRight w:val="0"/>
          <w:marTop w:val="0"/>
          <w:marBottom w:val="0"/>
          <w:divBdr>
            <w:top w:val="none" w:sz="0" w:space="0" w:color="auto"/>
            <w:left w:val="none" w:sz="0" w:space="0" w:color="auto"/>
            <w:bottom w:val="none" w:sz="0" w:space="0" w:color="auto"/>
            <w:right w:val="none" w:sz="0" w:space="0" w:color="auto"/>
          </w:divBdr>
        </w:div>
        <w:div w:id="1552572401">
          <w:marLeft w:val="274"/>
          <w:marRight w:val="0"/>
          <w:marTop w:val="0"/>
          <w:marBottom w:val="0"/>
          <w:divBdr>
            <w:top w:val="none" w:sz="0" w:space="0" w:color="auto"/>
            <w:left w:val="none" w:sz="0" w:space="0" w:color="auto"/>
            <w:bottom w:val="none" w:sz="0" w:space="0" w:color="auto"/>
            <w:right w:val="none" w:sz="0" w:space="0" w:color="auto"/>
          </w:divBdr>
        </w:div>
      </w:divsChild>
    </w:div>
    <w:div w:id="1855803003">
      <w:bodyDiv w:val="1"/>
      <w:marLeft w:val="0"/>
      <w:marRight w:val="0"/>
      <w:marTop w:val="0"/>
      <w:marBottom w:val="0"/>
      <w:divBdr>
        <w:top w:val="none" w:sz="0" w:space="0" w:color="auto"/>
        <w:left w:val="none" w:sz="0" w:space="0" w:color="auto"/>
        <w:bottom w:val="none" w:sz="0" w:space="0" w:color="auto"/>
        <w:right w:val="none" w:sz="0" w:space="0" w:color="auto"/>
      </w:divBdr>
      <w:divsChild>
        <w:div w:id="436608976">
          <w:marLeft w:val="360"/>
          <w:marRight w:val="0"/>
          <w:marTop w:val="240"/>
          <w:marBottom w:val="0"/>
          <w:divBdr>
            <w:top w:val="none" w:sz="0" w:space="0" w:color="auto"/>
            <w:left w:val="none" w:sz="0" w:space="0" w:color="auto"/>
            <w:bottom w:val="none" w:sz="0" w:space="0" w:color="auto"/>
            <w:right w:val="none" w:sz="0" w:space="0" w:color="auto"/>
          </w:divBdr>
        </w:div>
      </w:divsChild>
    </w:div>
    <w:div w:id="1923681411">
      <w:bodyDiv w:val="1"/>
      <w:marLeft w:val="0"/>
      <w:marRight w:val="0"/>
      <w:marTop w:val="0"/>
      <w:marBottom w:val="0"/>
      <w:divBdr>
        <w:top w:val="none" w:sz="0" w:space="0" w:color="auto"/>
        <w:left w:val="none" w:sz="0" w:space="0" w:color="auto"/>
        <w:bottom w:val="none" w:sz="0" w:space="0" w:color="auto"/>
        <w:right w:val="none" w:sz="0" w:space="0" w:color="auto"/>
      </w:divBdr>
    </w:div>
    <w:div w:id="1946568903">
      <w:bodyDiv w:val="1"/>
      <w:marLeft w:val="0"/>
      <w:marRight w:val="0"/>
      <w:marTop w:val="0"/>
      <w:marBottom w:val="0"/>
      <w:divBdr>
        <w:top w:val="none" w:sz="0" w:space="0" w:color="auto"/>
        <w:left w:val="none" w:sz="0" w:space="0" w:color="auto"/>
        <w:bottom w:val="none" w:sz="0" w:space="0" w:color="auto"/>
        <w:right w:val="none" w:sz="0" w:space="0" w:color="auto"/>
      </w:divBdr>
      <w:divsChild>
        <w:div w:id="97918407">
          <w:marLeft w:val="274"/>
          <w:marRight w:val="0"/>
          <w:marTop w:val="0"/>
          <w:marBottom w:val="0"/>
          <w:divBdr>
            <w:top w:val="none" w:sz="0" w:space="0" w:color="auto"/>
            <w:left w:val="none" w:sz="0" w:space="0" w:color="auto"/>
            <w:bottom w:val="none" w:sz="0" w:space="0" w:color="auto"/>
            <w:right w:val="none" w:sz="0" w:space="0" w:color="auto"/>
          </w:divBdr>
        </w:div>
        <w:div w:id="1214463577">
          <w:marLeft w:val="274"/>
          <w:marRight w:val="0"/>
          <w:marTop w:val="0"/>
          <w:marBottom w:val="0"/>
          <w:divBdr>
            <w:top w:val="none" w:sz="0" w:space="0" w:color="auto"/>
            <w:left w:val="none" w:sz="0" w:space="0" w:color="auto"/>
            <w:bottom w:val="none" w:sz="0" w:space="0" w:color="auto"/>
            <w:right w:val="none" w:sz="0" w:space="0" w:color="auto"/>
          </w:divBdr>
        </w:div>
        <w:div w:id="1646231113">
          <w:marLeft w:val="274"/>
          <w:marRight w:val="0"/>
          <w:marTop w:val="0"/>
          <w:marBottom w:val="0"/>
          <w:divBdr>
            <w:top w:val="none" w:sz="0" w:space="0" w:color="auto"/>
            <w:left w:val="none" w:sz="0" w:space="0" w:color="auto"/>
            <w:bottom w:val="none" w:sz="0" w:space="0" w:color="auto"/>
            <w:right w:val="none" w:sz="0" w:space="0" w:color="auto"/>
          </w:divBdr>
        </w:div>
      </w:divsChild>
    </w:div>
    <w:div w:id="1953784000">
      <w:bodyDiv w:val="1"/>
      <w:marLeft w:val="0"/>
      <w:marRight w:val="0"/>
      <w:marTop w:val="0"/>
      <w:marBottom w:val="0"/>
      <w:divBdr>
        <w:top w:val="none" w:sz="0" w:space="0" w:color="auto"/>
        <w:left w:val="none" w:sz="0" w:space="0" w:color="auto"/>
        <w:bottom w:val="none" w:sz="0" w:space="0" w:color="auto"/>
        <w:right w:val="none" w:sz="0" w:space="0" w:color="auto"/>
      </w:divBdr>
      <w:divsChild>
        <w:div w:id="194274875">
          <w:marLeft w:val="720"/>
          <w:marRight w:val="0"/>
          <w:marTop w:val="240"/>
          <w:marBottom w:val="0"/>
          <w:divBdr>
            <w:top w:val="none" w:sz="0" w:space="0" w:color="auto"/>
            <w:left w:val="none" w:sz="0" w:space="0" w:color="auto"/>
            <w:bottom w:val="none" w:sz="0" w:space="0" w:color="auto"/>
            <w:right w:val="none" w:sz="0" w:space="0" w:color="auto"/>
          </w:divBdr>
        </w:div>
        <w:div w:id="1356224568">
          <w:marLeft w:val="720"/>
          <w:marRight w:val="0"/>
          <w:marTop w:val="240"/>
          <w:marBottom w:val="0"/>
          <w:divBdr>
            <w:top w:val="none" w:sz="0" w:space="0" w:color="auto"/>
            <w:left w:val="none" w:sz="0" w:space="0" w:color="auto"/>
            <w:bottom w:val="none" w:sz="0" w:space="0" w:color="auto"/>
            <w:right w:val="none" w:sz="0" w:space="0" w:color="auto"/>
          </w:divBdr>
        </w:div>
        <w:div w:id="1558323948">
          <w:marLeft w:val="360"/>
          <w:marRight w:val="0"/>
          <w:marTop w:val="240"/>
          <w:marBottom w:val="0"/>
          <w:divBdr>
            <w:top w:val="none" w:sz="0" w:space="0" w:color="auto"/>
            <w:left w:val="none" w:sz="0" w:space="0" w:color="auto"/>
            <w:bottom w:val="none" w:sz="0" w:space="0" w:color="auto"/>
            <w:right w:val="none" w:sz="0" w:space="0" w:color="auto"/>
          </w:divBdr>
        </w:div>
      </w:divsChild>
    </w:div>
    <w:div w:id="2054183962">
      <w:bodyDiv w:val="1"/>
      <w:marLeft w:val="0"/>
      <w:marRight w:val="0"/>
      <w:marTop w:val="0"/>
      <w:marBottom w:val="0"/>
      <w:divBdr>
        <w:top w:val="none" w:sz="0" w:space="0" w:color="auto"/>
        <w:left w:val="none" w:sz="0" w:space="0" w:color="auto"/>
        <w:bottom w:val="none" w:sz="0" w:space="0" w:color="auto"/>
        <w:right w:val="none" w:sz="0" w:space="0" w:color="auto"/>
      </w:divBdr>
    </w:div>
    <w:div w:id="2128771057">
      <w:bodyDiv w:val="1"/>
      <w:marLeft w:val="0"/>
      <w:marRight w:val="0"/>
      <w:marTop w:val="0"/>
      <w:marBottom w:val="0"/>
      <w:divBdr>
        <w:top w:val="none" w:sz="0" w:space="0" w:color="auto"/>
        <w:left w:val="none" w:sz="0" w:space="0" w:color="auto"/>
        <w:bottom w:val="none" w:sz="0" w:space="0" w:color="auto"/>
        <w:right w:val="none" w:sz="0" w:space="0" w:color="auto"/>
      </w:divBdr>
    </w:div>
    <w:div w:id="21404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MC%20Templates\Templates\FormattedDocument.dotx" TargetMode="External"/></Relationships>
</file>

<file path=word/theme/theme1.xml><?xml version="1.0" encoding="utf-8"?>
<a:theme xmlns:a="http://schemas.openxmlformats.org/drawingml/2006/main" name="Office Theme">
  <a:themeElements>
    <a:clrScheme name="Office">
      <a:dk1>
        <a:srgbClr val="003865"/>
      </a:dk1>
      <a:lt1>
        <a:srgbClr val="FFFFFF"/>
      </a:lt1>
      <a:dk2>
        <a:srgbClr val="868D95"/>
      </a:dk2>
      <a:lt2>
        <a:srgbClr val="B9BFC7"/>
      </a:lt2>
      <a:accent1>
        <a:srgbClr val="009DE0"/>
      </a:accent1>
      <a:accent2>
        <a:srgbClr val="00AC41"/>
      </a:accent2>
      <a:accent3>
        <a:srgbClr val="8246AF"/>
      </a:accent3>
      <a:accent4>
        <a:srgbClr val="00968F"/>
      </a:accent4>
      <a:accent5>
        <a:srgbClr val="0077A0"/>
      </a:accent5>
      <a:accent6>
        <a:srgbClr val="EE3D8B"/>
      </a:accent6>
      <a:hlink>
        <a:srgbClr val="003865"/>
      </a:hlink>
      <a:folHlink>
        <a:srgbClr val="009D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77732B61C284D9EF44B17330B515F" ma:contentTypeVersion="16" ma:contentTypeDescription="Create a new document." ma:contentTypeScope="" ma:versionID="10f29c442d1cf913d74778c3a0ba29f7">
  <xsd:schema xmlns:xsd="http://www.w3.org/2001/XMLSchema" xmlns:xs="http://www.w3.org/2001/XMLSchema" xmlns:p="http://schemas.microsoft.com/office/2006/metadata/properties" xmlns:ns3="b65e20c6-c8fb-4baf-9570-54427f4011fa" xmlns:ns4="d694d788-90bd-4121-a82c-adbd56c48271" targetNamespace="http://schemas.microsoft.com/office/2006/metadata/properties" ma:root="true" ma:fieldsID="5736c238a15d3f629aa6a8bc50aea439" ns3:_="" ns4:_="">
    <xsd:import namespace="b65e20c6-c8fb-4baf-9570-54427f4011fa"/>
    <xsd:import namespace="d694d788-90bd-4121-a82c-adbd56c4827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e20c6-c8fb-4baf-9570-54427f4011f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4d788-90bd-4121-a82c-adbd56c4827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65e20c6-c8fb-4baf-9570-54427f4011fa" xsi:nil="true"/>
  </documentManagement>
</p:properties>
</file>

<file path=customXml/itemProps1.xml><?xml version="1.0" encoding="utf-8"?>
<ds:datastoreItem xmlns:ds="http://schemas.openxmlformats.org/officeDocument/2006/customXml" ds:itemID="{2AE7516F-897E-462D-92CB-AE9D019A1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e20c6-c8fb-4baf-9570-54427f4011fa"/>
    <ds:schemaRef ds:uri="d694d788-90bd-4121-a82c-adbd56c48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6C477-EF62-4293-B578-7C1A12501BD2}">
  <ds:schemaRefs>
    <ds:schemaRef ds:uri="http://schemas.openxmlformats.org/officeDocument/2006/bibliography"/>
  </ds:schemaRefs>
</ds:datastoreItem>
</file>

<file path=customXml/itemProps3.xml><?xml version="1.0" encoding="utf-8"?>
<ds:datastoreItem xmlns:ds="http://schemas.openxmlformats.org/officeDocument/2006/customXml" ds:itemID="{B90963EB-C9FE-4EBE-AFCF-3324A570F07A}">
  <ds:schemaRefs>
    <ds:schemaRef ds:uri="http://schemas.microsoft.com/sharepoint/v3/contenttype/forms"/>
  </ds:schemaRefs>
</ds:datastoreItem>
</file>

<file path=customXml/itemProps4.xml><?xml version="1.0" encoding="utf-8"?>
<ds:datastoreItem xmlns:ds="http://schemas.openxmlformats.org/officeDocument/2006/customXml" ds:itemID="{4FBBA6FD-E8E3-4121-95CE-724F08B238F5}">
  <ds:schemaRefs>
    <ds:schemaRef ds:uri="http://purl.org/dc/elements/1.1/"/>
    <ds:schemaRef ds:uri="http://www.w3.org/XML/1998/namespace"/>
    <ds:schemaRef ds:uri="d694d788-90bd-4121-a82c-adbd56c48271"/>
    <ds:schemaRef ds:uri="http://schemas.microsoft.com/office/2006/documentManagement/types"/>
    <ds:schemaRef ds:uri="http://schemas.microsoft.com/office/infopath/2007/PartnerControls"/>
    <ds:schemaRef ds:uri="b65e20c6-c8fb-4baf-9570-54427f4011fa"/>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FormattedDocument.dotx</Template>
  <TotalTime>36</TotalTime>
  <Pages>11</Pages>
  <Words>3049</Words>
  <Characters>17126</Characters>
  <Application>Microsoft Office Word</Application>
  <DocSecurity>0</DocSecurity>
  <Lines>476</Lines>
  <Paragraphs>124</Paragraphs>
  <ScaleCrop>false</ScaleCrop>
  <HeadingPairs>
    <vt:vector size="2" baseType="variant">
      <vt:variant>
        <vt:lpstr>Title</vt:lpstr>
      </vt:variant>
      <vt:variant>
        <vt:i4>1</vt:i4>
      </vt:variant>
    </vt:vector>
  </HeadingPairs>
  <TitlesOfParts>
    <vt:vector size="1" baseType="lpstr">
      <vt:lpstr>Implementation Statements on SIP Policies and Engagement Policy</vt:lpstr>
    </vt:vector>
  </TitlesOfParts>
  <Company>Mercer (US) Inc.</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Statements on SIP Policies and Engagement Policy</dc:title>
  <dc:subject/>
  <dc:creator>First Last Name</dc:creator>
  <cp:keywords/>
  <dc:description/>
  <cp:lastModifiedBy>Langley, Kyle</cp:lastModifiedBy>
  <cp:revision>8</cp:revision>
  <cp:lastPrinted>2025-07-05T13:05:00Z</cp:lastPrinted>
  <dcterms:created xsi:type="dcterms:W3CDTF">2025-07-05T12:51:00Z</dcterms:created>
  <dcterms:modified xsi:type="dcterms:W3CDTF">2025-07-16T12:41:00Z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Template">
    <vt:lpwstr>FormattedDocument</vt:lpwstr>
  </property>
  <property fmtid="{D5CDD505-2E9C-101B-9397-08002B2CF9AE}" pid="4" name="MMCOA_PaperResize">
    <vt:lpwstr>Standard</vt:lpwstr>
  </property>
  <property fmtid="{D5CDD505-2E9C-101B-9397-08002B2CF9AE}" pid="5" name="MMCOA_TemplateVersion">
    <vt:lpwstr>8.0</vt:lpwstr>
  </property>
  <property fmtid="{D5CDD505-2E9C-101B-9397-08002B2CF9AE}" pid="6" name="MMCOA_Redate">
    <vt:lpwstr> </vt:lpwstr>
  </property>
  <property fmtid="{D5CDD505-2E9C-101B-9397-08002B2CF9AE}" pid="7" name="MMCOA_UI_Language">
    <vt:lpwstr>en-GB</vt:lpwstr>
  </property>
  <property fmtid="{D5CDD505-2E9C-101B-9397-08002B2CF9AE}" pid="8" name="MMCOA_BaseCo">
    <vt:lpwstr>MER</vt:lpwstr>
  </property>
  <property fmtid="{D5CDD505-2E9C-101B-9397-08002B2CF9AE}" pid="9" name="MMCOA_Brand">
    <vt:lpwstr>MER2020</vt:lpwstr>
  </property>
  <property fmtid="{D5CDD505-2E9C-101B-9397-08002B2CF9AE}" pid="10" name="MMCOA_Language">
    <vt:lpwstr>en-US</vt:lpwstr>
  </property>
  <property fmtid="{D5CDD505-2E9C-101B-9397-08002B2CF9AE}" pid="11" name="MMCOA_LanguageDateFormat">
    <vt:lpwstr>MMMM d, yyyy</vt:lpwstr>
  </property>
  <property fmtid="{D5CDD505-2E9C-101B-9397-08002B2CF9AE}" pid="12" name="MMCOA_BaseStyle">
    <vt:lpwstr>Base</vt:lpwstr>
  </property>
  <property fmtid="{D5CDD505-2E9C-101B-9397-08002B2CF9AE}" pid="13" name="MMCOA_BaseBoldStyle">
    <vt:lpwstr>Base Bold</vt:lpwstr>
  </property>
  <property fmtid="{D5CDD505-2E9C-101B-9397-08002B2CF9AE}" pid="14" name="MMCOA_StyleKeyBindings">
    <vt:lpwstr>NormalþList BulletþList Bullet 2þList Bullet 3þList Bullet 4þHeading 1þHeading 2þHeading 3þNormal Indent 1þNormal Indent 2þNormal Indent 3þNormal Indent 4þList NumberþList Number 2þList Number 3þList </vt:lpwstr>
  </property>
  <property fmtid="{D5CDD505-2E9C-101B-9397-08002B2CF9AE}" pid="15" name="MMCOA_StyleKeyBindings2">
    <vt:lpwstr>Number 4þHeading Number 1þHeading Number 2þHeading Number 3þHeading Number 4</vt:lpwstr>
  </property>
  <property fmtid="{D5CDD505-2E9C-101B-9397-08002B2CF9AE}" pid="16" name="MMCOA_StyleKeyBindingsKeys">
    <vt:lpwstr>846þ1590þ1591þ1592þ1593þ1585þ1586þ1587þ1653þ1654þ1655þ1656þ1648þ1649þ1650þ1651þ817þ818þ819þ821</vt:lpwstr>
  </property>
  <property fmtid="{D5CDD505-2E9C-101B-9397-08002B2CF9AE}" pid="17" name="MMCOA_TableStyles">
    <vt:lpwstr>Table Heading Text;Table Text</vt:lpwstr>
  </property>
  <property fmtid="{D5CDD505-2E9C-101B-9397-08002B2CF9AE}" pid="18" name="_NewReviewCycle">
    <vt:lpwstr/>
  </property>
  <property fmtid="{D5CDD505-2E9C-101B-9397-08002B2CF9AE}" pid="19" name="ContentTypeId">
    <vt:lpwstr>0x01010045577732B61C284D9EF44B17330B515F</vt:lpwstr>
  </property>
  <property fmtid="{D5CDD505-2E9C-101B-9397-08002B2CF9AE}" pid="20" name="_dlc_DocIdItemGuid">
    <vt:lpwstr>655789a2-60de-4e14-8d21-14f39016b2f8</vt:lpwstr>
  </property>
  <property fmtid="{D5CDD505-2E9C-101B-9397-08002B2CF9AE}" pid="21" name="Countries">
    <vt:lpwstr>98;#United Kingdom|0d0cd8b3-cc66-4e6a-a7bd-1780997bc555</vt:lpwstr>
  </property>
  <property fmtid="{D5CDD505-2E9C-101B-9397-08002B2CF9AE}" pid="22" name="SolutionPortfolios">
    <vt:lpwstr/>
  </property>
  <property fmtid="{D5CDD505-2E9C-101B-9397-08002B2CF9AE}" pid="23" name="Disclaimer">
    <vt:lpwstr>3077;#Internal Use Only|f8dda801-fbda-438d-9497-510bf209c143</vt:lpwstr>
  </property>
  <property fmtid="{D5CDD505-2E9C-101B-9397-08002B2CF9AE}" pid="24" name="Activity">
    <vt:lpwstr>89;#Deliver solution|0079e54a-1df6-4535-bb19-223c54542a90</vt:lpwstr>
  </property>
  <property fmtid="{D5CDD505-2E9C-101B-9397-08002B2CF9AE}" pid="25" name="Region">
    <vt:lpwstr>5888;#United Kingdom|afef8ffd-2ba8-4644-8ac9-5a3182b028c8</vt:lpwstr>
  </property>
  <property fmtid="{D5CDD505-2E9C-101B-9397-08002B2CF9AE}" pid="26" name="SiteDestinations">
    <vt:lpwstr>6459;#Wealth UK : Statements of Investment Principles|f158963a-2840-482d-b2a9-c1489d81936e</vt:lpwstr>
  </property>
  <property fmtid="{D5CDD505-2E9C-101B-9397-08002B2CF9AE}" pid="27" name="Industries">
    <vt:lpwstr/>
  </property>
  <property fmtid="{D5CDD505-2E9C-101B-9397-08002B2CF9AE}" pid="28" name="LOBs">
    <vt:lpwstr>4322;#Wealth UK|070138c5-ad47-4510-8b9c-ed7911fcf980</vt:lpwstr>
  </property>
  <property fmtid="{D5CDD505-2E9C-101B-9397-08002B2CF9AE}" pid="29" name="Languages">
    <vt:lpwstr>31;#English|6cbd0285-a6f5-4334-a5df-890e3770f5a6</vt:lpwstr>
  </property>
  <property fmtid="{D5CDD505-2E9C-101B-9397-08002B2CF9AE}" pid="30" name="AssetType">
    <vt:lpwstr>5751;#Consulting guide|451fe201-c163-4fe3-9dfb-bef223f96bcc</vt:lpwstr>
  </property>
  <property fmtid="{D5CDD505-2E9C-101B-9397-08002B2CF9AE}" pid="31" name="StandardDestinations">
    <vt:lpwstr/>
  </property>
  <property fmtid="{D5CDD505-2E9C-101B-9397-08002B2CF9AE}" pid="32" name="MSIP_Label_38f1469a-2c2a-4aee-b92b-090d4c5468ff_Enabled">
    <vt:lpwstr>true</vt:lpwstr>
  </property>
  <property fmtid="{D5CDD505-2E9C-101B-9397-08002B2CF9AE}" pid="33" name="MSIP_Label_38f1469a-2c2a-4aee-b92b-090d4c5468ff_SetDate">
    <vt:lpwstr>2022-06-28T10:15:12Z</vt:lpwstr>
  </property>
  <property fmtid="{D5CDD505-2E9C-101B-9397-08002B2CF9AE}" pid="34" name="MSIP_Label_38f1469a-2c2a-4aee-b92b-090d4c5468ff_Method">
    <vt:lpwstr>Standard</vt:lpwstr>
  </property>
  <property fmtid="{D5CDD505-2E9C-101B-9397-08002B2CF9AE}" pid="35" name="MSIP_Label_38f1469a-2c2a-4aee-b92b-090d4c5468ff_Name">
    <vt:lpwstr>Confidential - Unmarked</vt:lpwstr>
  </property>
  <property fmtid="{D5CDD505-2E9C-101B-9397-08002B2CF9AE}" pid="36" name="MSIP_Label_38f1469a-2c2a-4aee-b92b-090d4c5468ff_SiteId">
    <vt:lpwstr>2a6e6092-73e4-4752-b1a5-477a17f5056d</vt:lpwstr>
  </property>
  <property fmtid="{D5CDD505-2E9C-101B-9397-08002B2CF9AE}" pid="37" name="MSIP_Label_38f1469a-2c2a-4aee-b92b-090d4c5468ff_ActionId">
    <vt:lpwstr>7788e004-df1b-43f2-ba47-f7e81be53c2b</vt:lpwstr>
  </property>
  <property fmtid="{D5CDD505-2E9C-101B-9397-08002B2CF9AE}" pid="38" name="MSIP_Label_38f1469a-2c2a-4aee-b92b-090d4c5468ff_ContentBits">
    <vt:lpwstr>0</vt:lpwstr>
  </property>
  <property fmtid="{D5CDD505-2E9C-101B-9397-08002B2CF9AE}" pid="39" name="MPR_DocID">
    <vt:lpwstr>e5b3bc2976eb420583a2515ff097e36a</vt:lpwstr>
  </property>
</Properties>
</file>