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1AFB" w14:textId="5FC9AACC" w:rsidR="00D77317" w:rsidRDefault="00D77317" w:rsidP="00090281">
      <w:pPr>
        <w:pStyle w:val="BodyText"/>
        <w:spacing w:after="120"/>
        <w:ind w:left="0" w:firstLine="0"/>
        <w:rPr>
          <w:rFonts w:asciiTheme="majorHAnsi" w:hAnsiTheme="majorHAnsi" w:cstheme="majorHAnsi"/>
          <w:b/>
          <w:sz w:val="28"/>
          <w:szCs w:val="28"/>
        </w:rPr>
      </w:pPr>
      <w:r>
        <w:rPr>
          <w:rFonts w:asciiTheme="majorHAnsi" w:hAnsiTheme="majorHAnsi" w:cstheme="majorHAnsi"/>
          <w:b/>
          <w:sz w:val="28"/>
          <w:szCs w:val="28"/>
        </w:rPr>
        <w:t>THE NHBC PENSION SCHEME</w:t>
      </w:r>
    </w:p>
    <w:p w14:paraId="14A7E756" w14:textId="4CA89683" w:rsidR="007142D1" w:rsidRPr="008E046C" w:rsidRDefault="00D46190" w:rsidP="00090281">
      <w:pPr>
        <w:pStyle w:val="BodyText"/>
        <w:spacing w:before="120"/>
        <w:ind w:left="0" w:firstLine="0"/>
        <w:rPr>
          <w:rFonts w:asciiTheme="majorHAnsi" w:hAnsiTheme="majorHAnsi" w:cstheme="majorHAnsi"/>
          <w:b/>
          <w:sz w:val="28"/>
          <w:szCs w:val="28"/>
        </w:rPr>
      </w:pPr>
      <w:r>
        <w:rPr>
          <w:rFonts w:asciiTheme="majorHAnsi" w:hAnsiTheme="majorHAnsi" w:cstheme="majorHAnsi"/>
          <w:b/>
          <w:sz w:val="28"/>
          <w:szCs w:val="28"/>
        </w:rPr>
        <w:t>THE CHAIR’S ANNUAL</w:t>
      </w:r>
      <w:r w:rsidR="005C71AA">
        <w:rPr>
          <w:rFonts w:asciiTheme="majorHAnsi" w:hAnsiTheme="majorHAnsi" w:cstheme="majorHAnsi"/>
          <w:b/>
          <w:sz w:val="28"/>
          <w:szCs w:val="28"/>
        </w:rPr>
        <w:t xml:space="preserve"> </w:t>
      </w:r>
      <w:r w:rsidR="00D86548" w:rsidRPr="008E046C">
        <w:rPr>
          <w:rFonts w:asciiTheme="majorHAnsi" w:hAnsiTheme="majorHAnsi" w:cstheme="majorHAnsi"/>
          <w:b/>
          <w:sz w:val="28"/>
          <w:szCs w:val="28"/>
        </w:rPr>
        <w:t>GOVERNANCE STATEMENT</w:t>
      </w:r>
      <w:r w:rsidR="008F74CA">
        <w:rPr>
          <w:rFonts w:asciiTheme="majorHAnsi" w:hAnsiTheme="majorHAnsi" w:cstheme="majorHAnsi"/>
          <w:b/>
          <w:sz w:val="28"/>
          <w:szCs w:val="28"/>
        </w:rPr>
        <w:t xml:space="preserve"> 20</w:t>
      </w:r>
      <w:r w:rsidR="00ED4EED">
        <w:rPr>
          <w:rFonts w:asciiTheme="majorHAnsi" w:hAnsiTheme="majorHAnsi" w:cstheme="majorHAnsi"/>
          <w:b/>
          <w:sz w:val="28"/>
          <w:szCs w:val="28"/>
        </w:rPr>
        <w:t>2</w:t>
      </w:r>
      <w:r w:rsidR="00F70BEE">
        <w:rPr>
          <w:rFonts w:asciiTheme="majorHAnsi" w:hAnsiTheme="majorHAnsi" w:cstheme="majorHAnsi"/>
          <w:b/>
          <w:sz w:val="28"/>
          <w:szCs w:val="28"/>
        </w:rPr>
        <w:t>5</w:t>
      </w:r>
    </w:p>
    <w:p w14:paraId="7034E55F" w14:textId="1B2AD5E0" w:rsidR="00D46190" w:rsidRPr="002E7F7B" w:rsidRDefault="00D46190" w:rsidP="00D46190">
      <w:pPr>
        <w:spacing w:before="240" w:after="240"/>
        <w:rPr>
          <w:b/>
          <w:sz w:val="24"/>
          <w:szCs w:val="24"/>
        </w:rPr>
      </w:pPr>
      <w:r w:rsidRPr="002E7F7B">
        <w:rPr>
          <w:b/>
          <w:sz w:val="24"/>
          <w:szCs w:val="24"/>
        </w:rPr>
        <w:t>INTRODUCTION</w:t>
      </w:r>
    </w:p>
    <w:p w14:paraId="67042313" w14:textId="1E1EC6F9" w:rsidR="006A4920" w:rsidRPr="006A4920" w:rsidRDefault="006A4920" w:rsidP="00EF0E1B">
      <w:pPr>
        <w:pStyle w:val="BodyText"/>
        <w:spacing w:before="120" w:after="120"/>
        <w:ind w:left="0" w:firstLine="0"/>
        <w:jc w:val="both"/>
        <w:rPr>
          <w:rFonts w:asciiTheme="majorHAnsi" w:hAnsiTheme="majorHAnsi" w:cstheme="majorHAnsi"/>
          <w:b/>
          <w:sz w:val="20"/>
          <w:szCs w:val="20"/>
        </w:rPr>
      </w:pPr>
      <w:r>
        <w:rPr>
          <w:rFonts w:asciiTheme="majorHAnsi" w:hAnsiTheme="majorHAnsi" w:cstheme="majorHAnsi"/>
          <w:b/>
          <w:sz w:val="20"/>
          <w:szCs w:val="20"/>
        </w:rPr>
        <w:t xml:space="preserve">Please note that this </w:t>
      </w:r>
      <w:r w:rsidR="00D77317">
        <w:rPr>
          <w:rFonts w:asciiTheme="majorHAnsi" w:hAnsiTheme="majorHAnsi" w:cstheme="majorHAnsi"/>
          <w:b/>
          <w:sz w:val="20"/>
          <w:szCs w:val="20"/>
        </w:rPr>
        <w:t xml:space="preserve">Chair’s </w:t>
      </w:r>
      <w:r>
        <w:rPr>
          <w:rFonts w:asciiTheme="majorHAnsi" w:hAnsiTheme="majorHAnsi" w:cstheme="majorHAnsi"/>
          <w:b/>
          <w:sz w:val="20"/>
          <w:szCs w:val="20"/>
        </w:rPr>
        <w:t>Governance Statement only relates to members with</w:t>
      </w:r>
      <w:r w:rsidR="00D77317">
        <w:rPr>
          <w:rFonts w:asciiTheme="majorHAnsi" w:hAnsiTheme="majorHAnsi" w:cstheme="majorHAnsi"/>
          <w:b/>
          <w:sz w:val="20"/>
          <w:szCs w:val="20"/>
        </w:rPr>
        <w:t xml:space="preserve"> Defined Contribution (DC) benefits in the NHBC Pension Scheme (“the Scheme”). </w:t>
      </w:r>
      <w:r w:rsidR="002142E6">
        <w:rPr>
          <w:rFonts w:asciiTheme="majorHAnsi" w:hAnsiTheme="majorHAnsi" w:cstheme="majorHAnsi"/>
          <w:b/>
          <w:sz w:val="20"/>
          <w:szCs w:val="20"/>
        </w:rPr>
        <w:t xml:space="preserve"> </w:t>
      </w:r>
      <w:r w:rsidR="00D77317">
        <w:rPr>
          <w:rFonts w:asciiTheme="majorHAnsi" w:hAnsiTheme="majorHAnsi" w:cstheme="majorHAnsi"/>
          <w:b/>
          <w:sz w:val="20"/>
          <w:szCs w:val="20"/>
        </w:rPr>
        <w:t>These are members with</w:t>
      </w:r>
      <w:r>
        <w:rPr>
          <w:rFonts w:asciiTheme="majorHAnsi" w:hAnsiTheme="majorHAnsi" w:cstheme="majorHAnsi"/>
          <w:b/>
          <w:sz w:val="20"/>
          <w:szCs w:val="20"/>
        </w:rPr>
        <w:t xml:space="preserve"> an AVC Account</w:t>
      </w:r>
      <w:r w:rsidR="00090281">
        <w:rPr>
          <w:rFonts w:asciiTheme="majorHAnsi" w:hAnsiTheme="majorHAnsi" w:cstheme="majorHAnsi"/>
          <w:b/>
          <w:sz w:val="20"/>
          <w:szCs w:val="20"/>
        </w:rPr>
        <w:t xml:space="preserve"> with Aviva</w:t>
      </w:r>
      <w:r>
        <w:rPr>
          <w:rFonts w:asciiTheme="majorHAnsi" w:hAnsiTheme="majorHAnsi" w:cstheme="majorHAnsi"/>
          <w:b/>
          <w:sz w:val="20"/>
          <w:szCs w:val="20"/>
        </w:rPr>
        <w:t xml:space="preserve"> or a Transfer Account</w:t>
      </w:r>
      <w:r w:rsidR="00090281">
        <w:rPr>
          <w:rFonts w:asciiTheme="majorHAnsi" w:hAnsiTheme="majorHAnsi" w:cstheme="majorHAnsi"/>
          <w:b/>
          <w:sz w:val="20"/>
          <w:szCs w:val="20"/>
        </w:rPr>
        <w:t xml:space="preserve"> with Prudential</w:t>
      </w:r>
      <w:r>
        <w:rPr>
          <w:rFonts w:asciiTheme="majorHAnsi" w:hAnsiTheme="majorHAnsi" w:cstheme="majorHAnsi"/>
          <w:b/>
          <w:sz w:val="20"/>
          <w:szCs w:val="20"/>
        </w:rPr>
        <w:t>.  Th</w:t>
      </w:r>
      <w:r w:rsidR="00D77317">
        <w:rPr>
          <w:rFonts w:asciiTheme="majorHAnsi" w:hAnsiTheme="majorHAnsi" w:cstheme="majorHAnsi"/>
          <w:b/>
          <w:sz w:val="20"/>
          <w:szCs w:val="20"/>
        </w:rPr>
        <w:t>e</w:t>
      </w:r>
      <w:r>
        <w:rPr>
          <w:rFonts w:asciiTheme="majorHAnsi" w:hAnsiTheme="majorHAnsi" w:cstheme="majorHAnsi"/>
          <w:b/>
          <w:sz w:val="20"/>
          <w:szCs w:val="20"/>
        </w:rPr>
        <w:t xml:space="preserve"> </w:t>
      </w:r>
      <w:r w:rsidR="00D77317">
        <w:rPr>
          <w:rFonts w:asciiTheme="majorHAnsi" w:hAnsiTheme="majorHAnsi" w:cstheme="majorHAnsi"/>
          <w:b/>
          <w:sz w:val="20"/>
          <w:szCs w:val="20"/>
        </w:rPr>
        <w:t>S</w:t>
      </w:r>
      <w:r>
        <w:rPr>
          <w:rFonts w:asciiTheme="majorHAnsi" w:hAnsiTheme="majorHAnsi" w:cstheme="majorHAnsi"/>
          <w:b/>
          <w:sz w:val="20"/>
          <w:szCs w:val="20"/>
        </w:rPr>
        <w:t>cheme closed to new members on</w:t>
      </w:r>
      <w:r w:rsidR="00D77317">
        <w:rPr>
          <w:rFonts w:asciiTheme="majorHAnsi" w:hAnsiTheme="majorHAnsi" w:cstheme="majorHAnsi"/>
          <w:b/>
          <w:sz w:val="20"/>
          <w:szCs w:val="20"/>
        </w:rPr>
        <w:t xml:space="preserve"> </w:t>
      </w:r>
      <w:r>
        <w:rPr>
          <w:rFonts w:asciiTheme="majorHAnsi" w:hAnsiTheme="majorHAnsi" w:cstheme="majorHAnsi"/>
          <w:b/>
          <w:sz w:val="20"/>
          <w:szCs w:val="20"/>
        </w:rPr>
        <w:t>31 December 2002 and to future</w:t>
      </w:r>
      <w:r w:rsidR="00265B92">
        <w:rPr>
          <w:rFonts w:asciiTheme="majorHAnsi" w:hAnsiTheme="majorHAnsi" w:cstheme="majorHAnsi"/>
          <w:b/>
          <w:sz w:val="20"/>
          <w:szCs w:val="20"/>
        </w:rPr>
        <w:t xml:space="preserve"> </w:t>
      </w:r>
      <w:r>
        <w:rPr>
          <w:rFonts w:asciiTheme="majorHAnsi" w:hAnsiTheme="majorHAnsi" w:cstheme="majorHAnsi"/>
          <w:b/>
          <w:sz w:val="20"/>
          <w:szCs w:val="20"/>
        </w:rPr>
        <w:t>benefits on 31 March 2014.</w:t>
      </w:r>
    </w:p>
    <w:p w14:paraId="14A7E757" w14:textId="05B103A6" w:rsidR="007142D1" w:rsidRPr="00904562" w:rsidRDefault="007142D1" w:rsidP="00EF0E1B">
      <w:pPr>
        <w:pStyle w:val="BodyText"/>
        <w:spacing w:before="120" w:after="120"/>
        <w:ind w:left="0" w:firstLine="0"/>
        <w:jc w:val="both"/>
        <w:rPr>
          <w:rFonts w:asciiTheme="majorHAnsi" w:hAnsiTheme="majorHAnsi" w:cstheme="majorHAnsi"/>
          <w:sz w:val="20"/>
          <w:szCs w:val="20"/>
        </w:rPr>
      </w:pPr>
      <w:r w:rsidRPr="00904562">
        <w:rPr>
          <w:rFonts w:asciiTheme="majorHAnsi" w:hAnsiTheme="majorHAnsi" w:cstheme="majorHAnsi"/>
          <w:sz w:val="20"/>
          <w:szCs w:val="20"/>
        </w:rPr>
        <w:t>This stat</w:t>
      </w:r>
      <w:r w:rsidR="00A225C7" w:rsidRPr="00904562">
        <w:rPr>
          <w:rFonts w:asciiTheme="majorHAnsi" w:hAnsiTheme="majorHAnsi" w:cstheme="majorHAnsi"/>
          <w:sz w:val="20"/>
          <w:szCs w:val="20"/>
        </w:rPr>
        <w:t>ement has been prepared by the Tr</w:t>
      </w:r>
      <w:r w:rsidR="00DA63CD" w:rsidRPr="00904562">
        <w:rPr>
          <w:rFonts w:asciiTheme="majorHAnsi" w:hAnsiTheme="majorHAnsi" w:cstheme="majorHAnsi"/>
          <w:sz w:val="20"/>
          <w:szCs w:val="20"/>
        </w:rPr>
        <w:t xml:space="preserve">ustee of </w:t>
      </w:r>
      <w:r w:rsidR="00A225C7" w:rsidRPr="00904562">
        <w:rPr>
          <w:rFonts w:asciiTheme="majorHAnsi" w:hAnsiTheme="majorHAnsi" w:cstheme="majorHAnsi"/>
          <w:sz w:val="20"/>
          <w:szCs w:val="20"/>
        </w:rPr>
        <w:t>the Scheme</w:t>
      </w:r>
      <w:r w:rsidRPr="00904562">
        <w:rPr>
          <w:rFonts w:asciiTheme="majorHAnsi" w:hAnsiTheme="majorHAnsi" w:cstheme="majorHAnsi"/>
          <w:sz w:val="20"/>
          <w:szCs w:val="20"/>
        </w:rPr>
        <w:t xml:space="preserve"> </w:t>
      </w:r>
      <w:r w:rsidR="00C10AC5" w:rsidRPr="00904562">
        <w:rPr>
          <w:rFonts w:asciiTheme="majorHAnsi" w:hAnsiTheme="majorHAnsi" w:cstheme="majorHAnsi"/>
          <w:sz w:val="20"/>
          <w:szCs w:val="20"/>
        </w:rPr>
        <w:t xml:space="preserve">in accordance with the Occupational Pension Schemes (Scheme Administration) Regulations 1996. </w:t>
      </w:r>
      <w:r w:rsidR="00D77317">
        <w:rPr>
          <w:rFonts w:asciiTheme="majorHAnsi" w:hAnsiTheme="majorHAnsi" w:cstheme="majorHAnsi"/>
          <w:sz w:val="20"/>
          <w:szCs w:val="20"/>
        </w:rPr>
        <w:t xml:space="preserve"> </w:t>
      </w:r>
      <w:r w:rsidR="00C10AC5" w:rsidRPr="00904562">
        <w:rPr>
          <w:rFonts w:asciiTheme="majorHAnsi" w:hAnsiTheme="majorHAnsi" w:cstheme="majorHAnsi"/>
          <w:sz w:val="20"/>
          <w:szCs w:val="20"/>
        </w:rPr>
        <w:t>It describ</w:t>
      </w:r>
      <w:r w:rsidRPr="00904562">
        <w:rPr>
          <w:rFonts w:asciiTheme="majorHAnsi" w:hAnsiTheme="majorHAnsi" w:cstheme="majorHAnsi"/>
          <w:sz w:val="20"/>
          <w:szCs w:val="20"/>
        </w:rPr>
        <w:t>e</w:t>
      </w:r>
      <w:r w:rsidR="00C10AC5" w:rsidRPr="00904562">
        <w:rPr>
          <w:rFonts w:asciiTheme="majorHAnsi" w:hAnsiTheme="majorHAnsi" w:cstheme="majorHAnsi"/>
          <w:sz w:val="20"/>
          <w:szCs w:val="20"/>
        </w:rPr>
        <w:t>s</w:t>
      </w:r>
      <w:r w:rsidRPr="00904562">
        <w:rPr>
          <w:rFonts w:asciiTheme="majorHAnsi" w:hAnsiTheme="majorHAnsi" w:cstheme="majorHAnsi"/>
          <w:sz w:val="20"/>
          <w:szCs w:val="20"/>
        </w:rPr>
        <w:t xml:space="preserve"> </w:t>
      </w:r>
      <w:r w:rsidR="00C10AC5" w:rsidRPr="00904562">
        <w:rPr>
          <w:rFonts w:asciiTheme="majorHAnsi" w:hAnsiTheme="majorHAnsi" w:cstheme="majorHAnsi"/>
          <w:sz w:val="20"/>
          <w:szCs w:val="20"/>
        </w:rPr>
        <w:t>how</w:t>
      </w:r>
      <w:r w:rsidR="007A1A29" w:rsidRPr="00904562">
        <w:rPr>
          <w:rFonts w:asciiTheme="majorHAnsi" w:hAnsiTheme="majorHAnsi" w:cstheme="majorHAnsi"/>
          <w:sz w:val="20"/>
          <w:szCs w:val="20"/>
        </w:rPr>
        <w:t>,</w:t>
      </w:r>
      <w:r w:rsidR="00C10AC5" w:rsidRPr="00904562">
        <w:rPr>
          <w:rFonts w:asciiTheme="majorHAnsi" w:hAnsiTheme="majorHAnsi" w:cstheme="majorHAnsi"/>
          <w:sz w:val="20"/>
          <w:szCs w:val="20"/>
        </w:rPr>
        <w:t xml:space="preserve"> </w:t>
      </w:r>
      <w:r w:rsidR="00AF5C3B" w:rsidRPr="00904562">
        <w:rPr>
          <w:rFonts w:asciiTheme="majorHAnsi" w:hAnsiTheme="majorHAnsi" w:cstheme="majorHAnsi"/>
          <w:sz w:val="20"/>
          <w:szCs w:val="20"/>
        </w:rPr>
        <w:t xml:space="preserve">in relation to </w:t>
      </w:r>
      <w:r w:rsidR="00090281">
        <w:rPr>
          <w:rFonts w:asciiTheme="majorHAnsi" w:hAnsiTheme="majorHAnsi" w:cstheme="majorHAnsi"/>
          <w:sz w:val="20"/>
          <w:szCs w:val="20"/>
        </w:rPr>
        <w:t>members’</w:t>
      </w:r>
      <w:r w:rsidR="00C1411E">
        <w:rPr>
          <w:rFonts w:asciiTheme="majorHAnsi" w:hAnsiTheme="majorHAnsi" w:cstheme="majorHAnsi"/>
          <w:sz w:val="20"/>
          <w:szCs w:val="20"/>
        </w:rPr>
        <w:t xml:space="preserve"> AVC A</w:t>
      </w:r>
      <w:r w:rsidR="00114941" w:rsidRPr="00904562">
        <w:rPr>
          <w:rFonts w:asciiTheme="majorHAnsi" w:hAnsiTheme="majorHAnsi" w:cstheme="majorHAnsi"/>
          <w:sz w:val="20"/>
          <w:szCs w:val="20"/>
        </w:rPr>
        <w:t>ccounts</w:t>
      </w:r>
      <w:r w:rsidR="00AF5C3B" w:rsidRPr="00904562">
        <w:rPr>
          <w:rFonts w:asciiTheme="majorHAnsi" w:hAnsiTheme="majorHAnsi" w:cstheme="majorHAnsi"/>
          <w:sz w:val="20"/>
          <w:szCs w:val="20"/>
        </w:rPr>
        <w:t xml:space="preserve"> w</w:t>
      </w:r>
      <w:r w:rsidR="00C1411E">
        <w:rPr>
          <w:rFonts w:asciiTheme="majorHAnsi" w:hAnsiTheme="majorHAnsi" w:cstheme="majorHAnsi"/>
          <w:sz w:val="20"/>
          <w:szCs w:val="20"/>
        </w:rPr>
        <w:t>ith Aviva and Transfer A</w:t>
      </w:r>
      <w:r w:rsidR="00114941" w:rsidRPr="00904562">
        <w:rPr>
          <w:rFonts w:asciiTheme="majorHAnsi" w:hAnsiTheme="majorHAnsi" w:cstheme="majorHAnsi"/>
          <w:sz w:val="20"/>
          <w:szCs w:val="20"/>
        </w:rPr>
        <w:t>ccounts</w:t>
      </w:r>
      <w:r w:rsidR="00AF5C3B" w:rsidRPr="00904562">
        <w:rPr>
          <w:rFonts w:asciiTheme="majorHAnsi" w:hAnsiTheme="majorHAnsi" w:cstheme="majorHAnsi"/>
          <w:sz w:val="20"/>
          <w:szCs w:val="20"/>
        </w:rPr>
        <w:t xml:space="preserve"> with Prudential (collectively ref</w:t>
      </w:r>
      <w:r w:rsidR="00880206" w:rsidRPr="00904562">
        <w:rPr>
          <w:rFonts w:asciiTheme="majorHAnsi" w:hAnsiTheme="majorHAnsi" w:cstheme="majorHAnsi"/>
          <w:sz w:val="20"/>
          <w:szCs w:val="20"/>
        </w:rPr>
        <w:t xml:space="preserve">erred to as </w:t>
      </w:r>
      <w:r w:rsidR="00943D54">
        <w:rPr>
          <w:rFonts w:asciiTheme="majorHAnsi" w:hAnsiTheme="majorHAnsi" w:cstheme="majorHAnsi"/>
          <w:sz w:val="20"/>
          <w:szCs w:val="20"/>
        </w:rPr>
        <w:t>“</w:t>
      </w:r>
      <w:r w:rsidR="00880206" w:rsidRPr="00904562">
        <w:rPr>
          <w:rFonts w:asciiTheme="majorHAnsi" w:hAnsiTheme="majorHAnsi" w:cstheme="majorHAnsi"/>
          <w:sz w:val="20"/>
          <w:szCs w:val="20"/>
        </w:rPr>
        <w:t>the DC account</w:t>
      </w:r>
      <w:r w:rsidR="00AF5C3B" w:rsidRPr="00904562">
        <w:rPr>
          <w:rFonts w:asciiTheme="majorHAnsi" w:hAnsiTheme="majorHAnsi" w:cstheme="majorHAnsi"/>
          <w:sz w:val="20"/>
          <w:szCs w:val="20"/>
        </w:rPr>
        <w:t>s</w:t>
      </w:r>
      <w:r w:rsidR="00943D54">
        <w:rPr>
          <w:rFonts w:asciiTheme="majorHAnsi" w:hAnsiTheme="majorHAnsi" w:cstheme="majorHAnsi"/>
          <w:sz w:val="20"/>
          <w:szCs w:val="20"/>
        </w:rPr>
        <w:t>”</w:t>
      </w:r>
      <w:r w:rsidR="00AF5C3B" w:rsidRPr="00904562">
        <w:rPr>
          <w:rFonts w:asciiTheme="majorHAnsi" w:hAnsiTheme="majorHAnsi" w:cstheme="majorHAnsi"/>
          <w:sz w:val="20"/>
          <w:szCs w:val="20"/>
        </w:rPr>
        <w:t>)</w:t>
      </w:r>
      <w:r w:rsidR="007A1A29" w:rsidRPr="00904562">
        <w:rPr>
          <w:rFonts w:asciiTheme="majorHAnsi" w:hAnsiTheme="majorHAnsi" w:cstheme="majorHAnsi"/>
          <w:sz w:val="20"/>
          <w:szCs w:val="20"/>
        </w:rPr>
        <w:t>,</w:t>
      </w:r>
      <w:r w:rsidR="00AF5C3B" w:rsidRPr="00904562">
        <w:rPr>
          <w:rFonts w:asciiTheme="majorHAnsi" w:hAnsiTheme="majorHAnsi" w:cstheme="majorHAnsi"/>
          <w:sz w:val="20"/>
          <w:szCs w:val="20"/>
        </w:rPr>
        <w:t xml:space="preserve"> </w:t>
      </w:r>
      <w:r w:rsidR="00A605EB">
        <w:rPr>
          <w:rFonts w:asciiTheme="majorHAnsi" w:hAnsiTheme="majorHAnsi" w:cstheme="majorHAnsi"/>
          <w:sz w:val="20"/>
          <w:szCs w:val="20"/>
        </w:rPr>
        <w:t>the Trustee</w:t>
      </w:r>
      <w:r w:rsidR="004D57CA" w:rsidRPr="00904562">
        <w:rPr>
          <w:rFonts w:asciiTheme="majorHAnsi" w:hAnsiTheme="majorHAnsi" w:cstheme="majorHAnsi"/>
          <w:sz w:val="20"/>
          <w:szCs w:val="20"/>
        </w:rPr>
        <w:t xml:space="preserve"> has</w:t>
      </w:r>
      <w:r w:rsidR="00AF5C3B" w:rsidRPr="00904562">
        <w:rPr>
          <w:rFonts w:asciiTheme="majorHAnsi" w:hAnsiTheme="majorHAnsi" w:cstheme="majorHAnsi"/>
          <w:sz w:val="20"/>
          <w:szCs w:val="20"/>
        </w:rPr>
        <w:t xml:space="preserve"> </w:t>
      </w:r>
      <w:r w:rsidR="00150719" w:rsidRPr="00904562">
        <w:rPr>
          <w:rFonts w:asciiTheme="majorHAnsi" w:hAnsiTheme="majorHAnsi" w:cstheme="majorHAnsi"/>
          <w:sz w:val="20"/>
          <w:szCs w:val="20"/>
        </w:rPr>
        <w:t xml:space="preserve">complied </w:t>
      </w:r>
      <w:r w:rsidRPr="00904562">
        <w:rPr>
          <w:rFonts w:asciiTheme="majorHAnsi" w:hAnsiTheme="majorHAnsi" w:cstheme="majorHAnsi"/>
          <w:sz w:val="20"/>
          <w:szCs w:val="20"/>
        </w:rPr>
        <w:t xml:space="preserve">with the </w:t>
      </w:r>
      <w:r w:rsidR="00880206" w:rsidRPr="00904562">
        <w:rPr>
          <w:rFonts w:asciiTheme="majorHAnsi" w:hAnsiTheme="majorHAnsi" w:cstheme="majorHAnsi"/>
          <w:sz w:val="20"/>
          <w:szCs w:val="20"/>
        </w:rPr>
        <w:t xml:space="preserve">applicable </w:t>
      </w:r>
      <w:r w:rsidR="00C10AC5" w:rsidRPr="00904562">
        <w:rPr>
          <w:rFonts w:asciiTheme="majorHAnsi" w:hAnsiTheme="majorHAnsi" w:cstheme="majorHAnsi"/>
          <w:sz w:val="20"/>
          <w:szCs w:val="20"/>
        </w:rPr>
        <w:t>statutory governance standards</w:t>
      </w:r>
      <w:r w:rsidR="00090281">
        <w:rPr>
          <w:rFonts w:asciiTheme="majorHAnsi" w:hAnsiTheme="majorHAnsi" w:cstheme="majorHAnsi"/>
          <w:sz w:val="20"/>
          <w:szCs w:val="20"/>
        </w:rPr>
        <w:t>.  These</w:t>
      </w:r>
      <w:r w:rsidR="00C10AC5" w:rsidRPr="00904562">
        <w:rPr>
          <w:rFonts w:asciiTheme="majorHAnsi" w:hAnsiTheme="majorHAnsi" w:cstheme="majorHAnsi"/>
          <w:sz w:val="20"/>
          <w:szCs w:val="20"/>
        </w:rPr>
        <w:t xml:space="preserve"> cover the following </w:t>
      </w:r>
      <w:r w:rsidR="0094764C" w:rsidRPr="00904562">
        <w:rPr>
          <w:rFonts w:asciiTheme="majorHAnsi" w:hAnsiTheme="majorHAnsi" w:cstheme="majorHAnsi"/>
          <w:sz w:val="20"/>
          <w:szCs w:val="20"/>
        </w:rPr>
        <w:t xml:space="preserve">key </w:t>
      </w:r>
      <w:r w:rsidR="00FF5F5A" w:rsidRPr="00904562">
        <w:rPr>
          <w:rFonts w:asciiTheme="majorHAnsi" w:hAnsiTheme="majorHAnsi" w:cstheme="majorHAnsi"/>
          <w:sz w:val="20"/>
          <w:szCs w:val="20"/>
        </w:rPr>
        <w:t>aspects affecting the operation of</w:t>
      </w:r>
      <w:r w:rsidR="00C10AC5" w:rsidRPr="00904562">
        <w:rPr>
          <w:rFonts w:asciiTheme="majorHAnsi" w:hAnsiTheme="majorHAnsi" w:cstheme="majorHAnsi"/>
          <w:sz w:val="20"/>
          <w:szCs w:val="20"/>
        </w:rPr>
        <w:t xml:space="preserve"> the </w:t>
      </w:r>
      <w:r w:rsidR="00880206" w:rsidRPr="00904562">
        <w:rPr>
          <w:rFonts w:asciiTheme="majorHAnsi" w:hAnsiTheme="majorHAnsi" w:cstheme="majorHAnsi"/>
          <w:sz w:val="20"/>
          <w:szCs w:val="20"/>
        </w:rPr>
        <w:t>DC account</w:t>
      </w:r>
      <w:r w:rsidR="007A1A29" w:rsidRPr="00904562">
        <w:rPr>
          <w:rFonts w:asciiTheme="majorHAnsi" w:hAnsiTheme="majorHAnsi" w:cstheme="majorHAnsi"/>
          <w:sz w:val="20"/>
          <w:szCs w:val="20"/>
        </w:rPr>
        <w:t>s</w:t>
      </w:r>
      <w:r w:rsidR="00C10AC5" w:rsidRPr="00904562">
        <w:rPr>
          <w:rFonts w:asciiTheme="majorHAnsi" w:hAnsiTheme="majorHAnsi" w:cstheme="majorHAnsi"/>
          <w:sz w:val="20"/>
          <w:szCs w:val="20"/>
        </w:rPr>
        <w:t>:</w:t>
      </w:r>
    </w:p>
    <w:p w14:paraId="16FFBFB3" w14:textId="48637B52" w:rsidR="00E73B08" w:rsidRPr="00E73B08" w:rsidRDefault="00E73B08" w:rsidP="00EF0E1B">
      <w:pPr>
        <w:pStyle w:val="BodyText"/>
        <w:numPr>
          <w:ilvl w:val="0"/>
          <w:numId w:val="16"/>
        </w:numPr>
        <w:spacing w:before="120" w:after="120"/>
        <w:ind w:left="357" w:hanging="357"/>
        <w:jc w:val="both"/>
        <w:rPr>
          <w:rFonts w:asciiTheme="majorHAnsi" w:hAnsiTheme="majorHAnsi" w:cstheme="majorHAnsi"/>
          <w:bCs/>
          <w:sz w:val="20"/>
          <w:szCs w:val="20"/>
        </w:rPr>
      </w:pPr>
      <w:r w:rsidRPr="00E73B08">
        <w:rPr>
          <w:rFonts w:asciiTheme="majorHAnsi" w:hAnsiTheme="majorHAnsi" w:cstheme="majorHAnsi"/>
          <w:bCs/>
          <w:sz w:val="20"/>
          <w:szCs w:val="20"/>
        </w:rPr>
        <w:t xml:space="preserve">The </w:t>
      </w:r>
      <w:r w:rsidR="0041330C">
        <w:rPr>
          <w:rFonts w:asciiTheme="majorHAnsi" w:hAnsiTheme="majorHAnsi" w:cstheme="majorHAnsi"/>
          <w:bCs/>
          <w:sz w:val="20"/>
          <w:szCs w:val="20"/>
        </w:rPr>
        <w:t xml:space="preserve">returns achieved by the investment options net of </w:t>
      </w:r>
      <w:r w:rsidR="00E015AA">
        <w:rPr>
          <w:rFonts w:asciiTheme="majorHAnsi" w:hAnsiTheme="majorHAnsi" w:cstheme="majorHAnsi"/>
          <w:bCs/>
          <w:sz w:val="20"/>
          <w:szCs w:val="20"/>
        </w:rPr>
        <w:t xml:space="preserve">all charges and </w:t>
      </w:r>
      <w:r w:rsidR="00031B1A">
        <w:rPr>
          <w:rFonts w:asciiTheme="majorHAnsi" w:hAnsiTheme="majorHAnsi" w:cstheme="majorHAnsi"/>
          <w:bCs/>
          <w:sz w:val="20"/>
          <w:szCs w:val="20"/>
        </w:rPr>
        <w:t xml:space="preserve">transaction </w:t>
      </w:r>
      <w:r w:rsidR="00E015AA">
        <w:rPr>
          <w:rFonts w:asciiTheme="majorHAnsi" w:hAnsiTheme="majorHAnsi" w:cstheme="majorHAnsi"/>
          <w:bCs/>
          <w:sz w:val="20"/>
          <w:szCs w:val="20"/>
        </w:rPr>
        <w:t>costs;</w:t>
      </w:r>
    </w:p>
    <w:p w14:paraId="740AC197" w14:textId="7235DA2C" w:rsidR="00FF5F5A" w:rsidRPr="00904562" w:rsidRDefault="00CD1626" w:rsidP="00EF0E1B">
      <w:pPr>
        <w:pStyle w:val="BodyText"/>
        <w:numPr>
          <w:ilvl w:val="0"/>
          <w:numId w:val="16"/>
        </w:numPr>
        <w:spacing w:before="120" w:after="120"/>
        <w:ind w:left="357" w:hanging="357"/>
        <w:jc w:val="both"/>
        <w:rPr>
          <w:rFonts w:asciiTheme="majorHAnsi" w:hAnsiTheme="majorHAnsi" w:cstheme="majorHAnsi"/>
          <w:b/>
          <w:sz w:val="20"/>
          <w:szCs w:val="20"/>
        </w:rPr>
      </w:pPr>
      <w:r w:rsidRPr="00904562">
        <w:rPr>
          <w:rFonts w:asciiTheme="majorHAnsi" w:hAnsiTheme="majorHAnsi" w:cstheme="majorHAnsi"/>
          <w:sz w:val="20"/>
          <w:szCs w:val="20"/>
        </w:rPr>
        <w:t>The level of c</w:t>
      </w:r>
      <w:r w:rsidR="00FF5F5A" w:rsidRPr="00904562">
        <w:rPr>
          <w:rFonts w:asciiTheme="majorHAnsi" w:hAnsiTheme="majorHAnsi" w:cstheme="majorHAnsi"/>
          <w:sz w:val="20"/>
          <w:szCs w:val="20"/>
        </w:rPr>
        <w:t>harges and the extent to which they represent good value to members</w:t>
      </w:r>
      <w:r w:rsidR="009E4DFB">
        <w:rPr>
          <w:rFonts w:asciiTheme="majorHAnsi" w:hAnsiTheme="majorHAnsi" w:cstheme="majorHAnsi"/>
          <w:sz w:val="20"/>
          <w:szCs w:val="20"/>
        </w:rPr>
        <w:t>;</w:t>
      </w:r>
    </w:p>
    <w:p w14:paraId="2BED200D" w14:textId="6104987B" w:rsidR="00C10AC5" w:rsidRPr="00904562" w:rsidRDefault="00C10AC5" w:rsidP="00EF0E1B">
      <w:pPr>
        <w:pStyle w:val="BodyText"/>
        <w:numPr>
          <w:ilvl w:val="0"/>
          <w:numId w:val="16"/>
        </w:numPr>
        <w:spacing w:before="120" w:after="120"/>
        <w:ind w:left="357" w:hanging="357"/>
        <w:jc w:val="both"/>
        <w:rPr>
          <w:rFonts w:asciiTheme="majorHAnsi" w:hAnsiTheme="majorHAnsi" w:cstheme="majorHAnsi"/>
          <w:b/>
          <w:sz w:val="20"/>
          <w:szCs w:val="20"/>
        </w:rPr>
      </w:pPr>
      <w:r w:rsidRPr="00904562">
        <w:rPr>
          <w:rFonts w:asciiTheme="majorHAnsi" w:hAnsiTheme="majorHAnsi" w:cstheme="majorHAnsi"/>
          <w:sz w:val="20"/>
          <w:szCs w:val="20"/>
        </w:rPr>
        <w:t>The</w:t>
      </w:r>
      <w:r w:rsidR="0094764C" w:rsidRPr="00904562">
        <w:rPr>
          <w:rFonts w:asciiTheme="majorHAnsi" w:hAnsiTheme="majorHAnsi" w:cstheme="majorHAnsi"/>
          <w:sz w:val="20"/>
          <w:szCs w:val="20"/>
        </w:rPr>
        <w:t xml:space="preserve"> monitoring of</w:t>
      </w:r>
      <w:r w:rsidRPr="00904562">
        <w:rPr>
          <w:rFonts w:asciiTheme="majorHAnsi" w:hAnsiTheme="majorHAnsi" w:cstheme="majorHAnsi"/>
          <w:sz w:val="20"/>
          <w:szCs w:val="20"/>
        </w:rPr>
        <w:t xml:space="preserve"> </w:t>
      </w:r>
      <w:r w:rsidR="0094764C" w:rsidRPr="00904562">
        <w:rPr>
          <w:rFonts w:asciiTheme="majorHAnsi" w:hAnsiTheme="majorHAnsi" w:cstheme="majorHAnsi"/>
          <w:sz w:val="20"/>
          <w:szCs w:val="20"/>
        </w:rPr>
        <w:t>core</w:t>
      </w:r>
      <w:r w:rsidRPr="00904562">
        <w:rPr>
          <w:rFonts w:asciiTheme="majorHAnsi" w:hAnsiTheme="majorHAnsi" w:cstheme="majorHAnsi"/>
          <w:sz w:val="20"/>
          <w:szCs w:val="20"/>
        </w:rPr>
        <w:t xml:space="preserve"> financial transactions</w:t>
      </w:r>
      <w:r w:rsidR="001A6788">
        <w:rPr>
          <w:rFonts w:asciiTheme="majorHAnsi" w:hAnsiTheme="majorHAnsi" w:cstheme="majorHAnsi"/>
          <w:sz w:val="20"/>
          <w:szCs w:val="20"/>
        </w:rPr>
        <w:t>;</w:t>
      </w:r>
      <w:r w:rsidR="00C8205D">
        <w:rPr>
          <w:rFonts w:asciiTheme="majorHAnsi" w:hAnsiTheme="majorHAnsi" w:cstheme="majorHAnsi"/>
          <w:sz w:val="20"/>
          <w:szCs w:val="20"/>
        </w:rPr>
        <w:t xml:space="preserve"> and</w:t>
      </w:r>
    </w:p>
    <w:p w14:paraId="72076FA5" w14:textId="67B3DA8D" w:rsidR="00C10AC5" w:rsidRPr="00904562" w:rsidRDefault="00FF5F5A" w:rsidP="00EF0E1B">
      <w:pPr>
        <w:pStyle w:val="BodyText"/>
        <w:numPr>
          <w:ilvl w:val="0"/>
          <w:numId w:val="16"/>
        </w:numPr>
        <w:spacing w:before="120" w:after="120"/>
        <w:ind w:left="357" w:hanging="357"/>
        <w:jc w:val="both"/>
        <w:rPr>
          <w:rFonts w:asciiTheme="majorHAnsi" w:hAnsiTheme="majorHAnsi" w:cstheme="majorHAnsi"/>
          <w:b/>
          <w:sz w:val="20"/>
          <w:szCs w:val="20"/>
        </w:rPr>
      </w:pPr>
      <w:r w:rsidRPr="00904562">
        <w:rPr>
          <w:rFonts w:asciiTheme="majorHAnsi" w:hAnsiTheme="majorHAnsi" w:cstheme="majorHAnsi"/>
          <w:sz w:val="20"/>
          <w:szCs w:val="20"/>
        </w:rPr>
        <w:t>How t</w:t>
      </w:r>
      <w:r w:rsidR="004D57CA" w:rsidRPr="00904562">
        <w:rPr>
          <w:rFonts w:asciiTheme="majorHAnsi" w:hAnsiTheme="majorHAnsi" w:cstheme="majorHAnsi"/>
          <w:sz w:val="20"/>
          <w:szCs w:val="20"/>
        </w:rPr>
        <w:t>he Trustee</w:t>
      </w:r>
      <w:r w:rsidR="0094764C" w:rsidRPr="00904562">
        <w:rPr>
          <w:rFonts w:asciiTheme="majorHAnsi" w:hAnsiTheme="majorHAnsi" w:cstheme="majorHAnsi"/>
          <w:sz w:val="20"/>
          <w:szCs w:val="20"/>
        </w:rPr>
        <w:t xml:space="preserve"> </w:t>
      </w:r>
      <w:r w:rsidRPr="00904562">
        <w:rPr>
          <w:rFonts w:asciiTheme="majorHAnsi" w:hAnsiTheme="majorHAnsi" w:cstheme="majorHAnsi"/>
          <w:sz w:val="20"/>
          <w:szCs w:val="20"/>
        </w:rPr>
        <w:t>ensure</w:t>
      </w:r>
      <w:r w:rsidR="004D57CA" w:rsidRPr="00904562">
        <w:rPr>
          <w:rFonts w:asciiTheme="majorHAnsi" w:hAnsiTheme="majorHAnsi" w:cstheme="majorHAnsi"/>
          <w:sz w:val="20"/>
          <w:szCs w:val="20"/>
        </w:rPr>
        <w:t>s it has</w:t>
      </w:r>
      <w:r w:rsidRPr="00904562">
        <w:rPr>
          <w:rFonts w:asciiTheme="majorHAnsi" w:hAnsiTheme="majorHAnsi" w:cstheme="majorHAnsi"/>
          <w:sz w:val="20"/>
          <w:szCs w:val="20"/>
        </w:rPr>
        <w:t xml:space="preserve"> sufficient knowledge so that the </w:t>
      </w:r>
      <w:r w:rsidR="0050506B" w:rsidRPr="00904562">
        <w:rPr>
          <w:rFonts w:asciiTheme="majorHAnsi" w:hAnsiTheme="majorHAnsi" w:cstheme="majorHAnsi"/>
          <w:sz w:val="20"/>
          <w:szCs w:val="20"/>
        </w:rPr>
        <w:t>DC account</w:t>
      </w:r>
      <w:r w:rsidR="00CD1626" w:rsidRPr="00904562">
        <w:rPr>
          <w:rFonts w:asciiTheme="majorHAnsi" w:hAnsiTheme="majorHAnsi" w:cstheme="majorHAnsi"/>
          <w:sz w:val="20"/>
          <w:szCs w:val="20"/>
        </w:rPr>
        <w:t>s are</w:t>
      </w:r>
      <w:r w:rsidRPr="00904562">
        <w:rPr>
          <w:rFonts w:asciiTheme="majorHAnsi" w:hAnsiTheme="majorHAnsi" w:cstheme="majorHAnsi"/>
          <w:sz w:val="20"/>
          <w:szCs w:val="20"/>
        </w:rPr>
        <w:t xml:space="preserve"> well run</w:t>
      </w:r>
      <w:r w:rsidR="007C2AA3">
        <w:rPr>
          <w:rFonts w:asciiTheme="majorHAnsi" w:hAnsiTheme="majorHAnsi" w:cstheme="majorHAnsi"/>
          <w:sz w:val="20"/>
          <w:szCs w:val="20"/>
        </w:rPr>
        <w:t>.</w:t>
      </w:r>
    </w:p>
    <w:p w14:paraId="39F8F6B8" w14:textId="09634BAF" w:rsidR="00D46190" w:rsidRPr="00904562" w:rsidRDefault="00D46190" w:rsidP="00BA0FB4">
      <w:pPr>
        <w:pStyle w:val="BodyText"/>
        <w:spacing w:before="120" w:after="120"/>
        <w:ind w:left="0" w:firstLine="0"/>
        <w:jc w:val="both"/>
        <w:rPr>
          <w:rFonts w:asciiTheme="majorHAnsi" w:hAnsiTheme="majorHAnsi" w:cstheme="majorHAnsi"/>
          <w:sz w:val="20"/>
          <w:szCs w:val="20"/>
        </w:rPr>
      </w:pPr>
      <w:r w:rsidRPr="00904562">
        <w:rPr>
          <w:rFonts w:asciiTheme="majorHAnsi" w:hAnsiTheme="majorHAnsi" w:cstheme="majorHAnsi"/>
          <w:sz w:val="20"/>
          <w:szCs w:val="20"/>
        </w:rPr>
        <w:t>This statement cov</w:t>
      </w:r>
      <w:r w:rsidR="003D599B" w:rsidRPr="00904562">
        <w:rPr>
          <w:rFonts w:asciiTheme="majorHAnsi" w:hAnsiTheme="majorHAnsi" w:cstheme="majorHAnsi"/>
          <w:sz w:val="20"/>
          <w:szCs w:val="20"/>
        </w:rPr>
        <w:t xml:space="preserve">ers the </w:t>
      </w:r>
      <w:r w:rsidR="00A605EB">
        <w:rPr>
          <w:rFonts w:asciiTheme="majorHAnsi" w:hAnsiTheme="majorHAnsi" w:cstheme="majorHAnsi"/>
          <w:sz w:val="20"/>
          <w:szCs w:val="20"/>
        </w:rPr>
        <w:t>Scheme’s year</w:t>
      </w:r>
      <w:r w:rsidR="003D599B" w:rsidRPr="00904562">
        <w:rPr>
          <w:rFonts w:asciiTheme="majorHAnsi" w:hAnsiTheme="majorHAnsi" w:cstheme="majorHAnsi"/>
          <w:sz w:val="20"/>
          <w:szCs w:val="20"/>
        </w:rPr>
        <w:t xml:space="preserve"> from 1 April 20</w:t>
      </w:r>
      <w:r w:rsidR="009C3181">
        <w:rPr>
          <w:rFonts w:asciiTheme="majorHAnsi" w:hAnsiTheme="majorHAnsi" w:cstheme="majorHAnsi"/>
          <w:sz w:val="20"/>
          <w:szCs w:val="20"/>
        </w:rPr>
        <w:t>2</w:t>
      </w:r>
      <w:r w:rsidR="00F70BEE">
        <w:rPr>
          <w:rFonts w:asciiTheme="majorHAnsi" w:hAnsiTheme="majorHAnsi" w:cstheme="majorHAnsi"/>
          <w:sz w:val="20"/>
          <w:szCs w:val="20"/>
        </w:rPr>
        <w:t>4</w:t>
      </w:r>
      <w:r w:rsidR="003D599B" w:rsidRPr="00904562">
        <w:rPr>
          <w:rFonts w:asciiTheme="majorHAnsi" w:hAnsiTheme="majorHAnsi" w:cstheme="majorHAnsi"/>
          <w:sz w:val="20"/>
          <w:szCs w:val="20"/>
        </w:rPr>
        <w:t xml:space="preserve"> to 31 March 20</w:t>
      </w:r>
      <w:r w:rsidR="00ED4EED">
        <w:rPr>
          <w:rFonts w:asciiTheme="majorHAnsi" w:hAnsiTheme="majorHAnsi" w:cstheme="majorHAnsi"/>
          <w:sz w:val="20"/>
          <w:szCs w:val="20"/>
        </w:rPr>
        <w:t>2</w:t>
      </w:r>
      <w:r w:rsidR="00F70BEE">
        <w:rPr>
          <w:rFonts w:asciiTheme="majorHAnsi" w:hAnsiTheme="majorHAnsi" w:cstheme="majorHAnsi"/>
          <w:sz w:val="20"/>
          <w:szCs w:val="20"/>
        </w:rPr>
        <w:t>5</w:t>
      </w:r>
      <w:r w:rsidR="00A605EB">
        <w:rPr>
          <w:rFonts w:asciiTheme="majorHAnsi" w:hAnsiTheme="majorHAnsi" w:cstheme="majorHAnsi"/>
          <w:sz w:val="20"/>
          <w:szCs w:val="20"/>
        </w:rPr>
        <w:t>.</w:t>
      </w:r>
    </w:p>
    <w:p w14:paraId="1C7D8A6F" w14:textId="18A43FEB" w:rsidR="00D46190" w:rsidRPr="002E7F7B" w:rsidRDefault="00D46190" w:rsidP="00BA0FB4">
      <w:pPr>
        <w:spacing w:before="240"/>
        <w:ind w:left="0" w:firstLine="0"/>
        <w:jc w:val="both"/>
        <w:rPr>
          <w:b/>
          <w:sz w:val="24"/>
          <w:szCs w:val="24"/>
        </w:rPr>
      </w:pPr>
      <w:r w:rsidRPr="002E7F7B">
        <w:rPr>
          <w:b/>
          <w:sz w:val="24"/>
          <w:szCs w:val="24"/>
        </w:rPr>
        <w:t>DEFAULT INVESTMENT STRATEGY</w:t>
      </w:r>
    </w:p>
    <w:p w14:paraId="673C67CD" w14:textId="6D1057FA" w:rsidR="007A1A29" w:rsidRPr="00904562" w:rsidRDefault="00C1411E" w:rsidP="00EF0E1B">
      <w:pPr>
        <w:pStyle w:val="BodyText"/>
        <w:spacing w:before="120" w:after="120"/>
        <w:ind w:left="0" w:firstLine="0"/>
        <w:jc w:val="both"/>
        <w:rPr>
          <w:sz w:val="20"/>
          <w:szCs w:val="20"/>
        </w:rPr>
      </w:pPr>
      <w:r w:rsidRPr="00715BF1">
        <w:rPr>
          <w:rFonts w:asciiTheme="majorHAnsi" w:hAnsiTheme="majorHAnsi" w:cstheme="majorHAnsi"/>
          <w:sz w:val="20"/>
          <w:szCs w:val="20"/>
        </w:rPr>
        <w:t>There is no</w:t>
      </w:r>
      <w:r w:rsidR="00D46190" w:rsidRPr="00715BF1">
        <w:rPr>
          <w:rFonts w:asciiTheme="majorHAnsi" w:hAnsiTheme="majorHAnsi" w:cstheme="majorHAnsi"/>
          <w:sz w:val="20"/>
          <w:szCs w:val="20"/>
        </w:rPr>
        <w:t xml:space="preserve"> default</w:t>
      </w:r>
      <w:r w:rsidR="007A1A29" w:rsidRPr="00715BF1">
        <w:rPr>
          <w:rFonts w:asciiTheme="majorHAnsi" w:hAnsiTheme="majorHAnsi" w:cstheme="majorHAnsi"/>
          <w:sz w:val="20"/>
          <w:szCs w:val="20"/>
        </w:rPr>
        <w:t xml:space="preserve"> investment </w:t>
      </w:r>
      <w:r w:rsidRPr="00715BF1">
        <w:rPr>
          <w:rFonts w:asciiTheme="majorHAnsi" w:hAnsiTheme="majorHAnsi" w:cstheme="majorHAnsi"/>
          <w:sz w:val="20"/>
          <w:szCs w:val="20"/>
        </w:rPr>
        <w:t>strategy</w:t>
      </w:r>
      <w:r w:rsidR="002529D2" w:rsidRPr="00715BF1">
        <w:rPr>
          <w:rFonts w:asciiTheme="majorHAnsi" w:hAnsiTheme="majorHAnsi" w:cstheme="majorHAnsi"/>
          <w:sz w:val="20"/>
          <w:szCs w:val="20"/>
        </w:rPr>
        <w:t xml:space="preserve"> for</w:t>
      </w:r>
      <w:r w:rsidR="00D46190" w:rsidRPr="00715BF1">
        <w:rPr>
          <w:rFonts w:asciiTheme="majorHAnsi" w:hAnsiTheme="majorHAnsi" w:cstheme="majorHAnsi"/>
          <w:sz w:val="20"/>
          <w:szCs w:val="20"/>
        </w:rPr>
        <w:t xml:space="preserve"> </w:t>
      </w:r>
      <w:r w:rsidR="004D0E34">
        <w:rPr>
          <w:rFonts w:asciiTheme="majorHAnsi" w:hAnsiTheme="majorHAnsi" w:cstheme="majorHAnsi"/>
          <w:sz w:val="20"/>
          <w:szCs w:val="20"/>
        </w:rPr>
        <w:t xml:space="preserve">either the AVC </w:t>
      </w:r>
      <w:r w:rsidR="00FF6296">
        <w:rPr>
          <w:rFonts w:asciiTheme="majorHAnsi" w:hAnsiTheme="majorHAnsi" w:cstheme="majorHAnsi"/>
          <w:sz w:val="20"/>
          <w:szCs w:val="20"/>
        </w:rPr>
        <w:t>A</w:t>
      </w:r>
      <w:r w:rsidR="004D0E34">
        <w:rPr>
          <w:rFonts w:asciiTheme="majorHAnsi" w:hAnsiTheme="majorHAnsi" w:cstheme="majorHAnsi"/>
          <w:sz w:val="20"/>
          <w:szCs w:val="20"/>
        </w:rPr>
        <w:t xml:space="preserve">ccounts </w:t>
      </w:r>
      <w:r w:rsidR="00FF6296">
        <w:rPr>
          <w:rFonts w:asciiTheme="majorHAnsi" w:hAnsiTheme="majorHAnsi" w:cstheme="majorHAnsi"/>
          <w:sz w:val="20"/>
          <w:szCs w:val="20"/>
        </w:rPr>
        <w:t>with Aviva or the Transfer Accounts with Prudential</w:t>
      </w:r>
      <w:r w:rsidR="007A1A29" w:rsidRPr="00715BF1">
        <w:rPr>
          <w:rFonts w:asciiTheme="majorHAnsi" w:hAnsiTheme="majorHAnsi" w:cstheme="majorHAnsi"/>
          <w:sz w:val="20"/>
          <w:szCs w:val="20"/>
        </w:rPr>
        <w:t xml:space="preserve"> </w:t>
      </w:r>
      <w:r w:rsidR="002529D2" w:rsidRPr="00715BF1">
        <w:rPr>
          <w:rFonts w:asciiTheme="majorHAnsi" w:hAnsiTheme="majorHAnsi" w:cstheme="majorHAnsi"/>
          <w:sz w:val="20"/>
          <w:szCs w:val="20"/>
        </w:rPr>
        <w:t xml:space="preserve">as they </w:t>
      </w:r>
      <w:r w:rsidR="00DC2E32">
        <w:rPr>
          <w:rFonts w:asciiTheme="majorHAnsi" w:hAnsiTheme="majorHAnsi" w:cstheme="majorHAnsi"/>
          <w:sz w:val="20"/>
          <w:szCs w:val="20"/>
        </w:rPr>
        <w:t>were</w:t>
      </w:r>
      <w:r w:rsidR="002529D2" w:rsidRPr="00715BF1">
        <w:rPr>
          <w:rFonts w:asciiTheme="majorHAnsi" w:hAnsiTheme="majorHAnsi" w:cstheme="majorHAnsi"/>
          <w:sz w:val="20"/>
          <w:szCs w:val="20"/>
        </w:rPr>
        <w:t xml:space="preserve"> not used as a qualifying scheme for auto-enrolment purposes</w:t>
      </w:r>
      <w:r w:rsidR="007A1A29" w:rsidRPr="00904562">
        <w:rPr>
          <w:rFonts w:asciiTheme="majorHAnsi" w:hAnsiTheme="majorHAnsi" w:cstheme="majorHAnsi"/>
          <w:sz w:val="20"/>
          <w:szCs w:val="20"/>
        </w:rPr>
        <w:t xml:space="preserve">. </w:t>
      </w:r>
      <w:r w:rsidR="001A5F52">
        <w:rPr>
          <w:rFonts w:asciiTheme="majorHAnsi" w:hAnsiTheme="majorHAnsi" w:cstheme="majorHAnsi"/>
          <w:sz w:val="20"/>
          <w:szCs w:val="20"/>
        </w:rPr>
        <w:t xml:space="preserve"> </w:t>
      </w:r>
      <w:r w:rsidR="00880206" w:rsidRPr="00904562">
        <w:rPr>
          <w:sz w:val="20"/>
          <w:szCs w:val="20"/>
        </w:rPr>
        <w:t>In addition, the DC account</w:t>
      </w:r>
      <w:r w:rsidR="007A1A29" w:rsidRPr="00904562">
        <w:rPr>
          <w:sz w:val="20"/>
          <w:szCs w:val="20"/>
        </w:rPr>
        <w:t xml:space="preserve">s were closed to new contributions </w:t>
      </w:r>
      <w:r w:rsidR="00090281">
        <w:rPr>
          <w:sz w:val="20"/>
          <w:szCs w:val="20"/>
        </w:rPr>
        <w:t>on</w:t>
      </w:r>
      <w:r w:rsidR="007A1A29" w:rsidRPr="00904562">
        <w:rPr>
          <w:sz w:val="20"/>
          <w:szCs w:val="20"/>
        </w:rPr>
        <w:t xml:space="preserve"> </w:t>
      </w:r>
      <w:r w:rsidR="00090281">
        <w:rPr>
          <w:sz w:val="20"/>
          <w:szCs w:val="20"/>
        </w:rPr>
        <w:t>3</w:t>
      </w:r>
      <w:r w:rsidR="007A1A29" w:rsidRPr="00904562">
        <w:rPr>
          <w:sz w:val="20"/>
          <w:szCs w:val="20"/>
        </w:rPr>
        <w:t xml:space="preserve">1 </w:t>
      </w:r>
      <w:r w:rsidR="00090281">
        <w:rPr>
          <w:sz w:val="20"/>
          <w:szCs w:val="20"/>
        </w:rPr>
        <w:t xml:space="preserve">March </w:t>
      </w:r>
      <w:r w:rsidR="007A1A29" w:rsidRPr="00904562">
        <w:rPr>
          <w:sz w:val="20"/>
          <w:szCs w:val="20"/>
        </w:rPr>
        <w:t>2014.</w:t>
      </w:r>
    </w:p>
    <w:p w14:paraId="370C816C" w14:textId="07846C58" w:rsidR="0063031E" w:rsidRDefault="00950550" w:rsidP="00EF0E1B">
      <w:pPr>
        <w:pStyle w:val="BodyText"/>
        <w:spacing w:before="120" w:after="120"/>
        <w:ind w:left="0" w:firstLine="0"/>
        <w:jc w:val="both"/>
        <w:rPr>
          <w:sz w:val="20"/>
          <w:szCs w:val="20"/>
        </w:rPr>
      </w:pPr>
      <w:r w:rsidRPr="00904562">
        <w:rPr>
          <w:sz w:val="20"/>
          <w:szCs w:val="20"/>
        </w:rPr>
        <w:t xml:space="preserve">However, the Trustee </w:t>
      </w:r>
      <w:r w:rsidR="00200AE7">
        <w:rPr>
          <w:sz w:val="20"/>
          <w:szCs w:val="20"/>
        </w:rPr>
        <w:t>monitors</w:t>
      </w:r>
      <w:r w:rsidRPr="00904562">
        <w:rPr>
          <w:sz w:val="20"/>
          <w:szCs w:val="20"/>
        </w:rPr>
        <w:t xml:space="preserve"> the investment options availa</w:t>
      </w:r>
      <w:r w:rsidR="00C1411E">
        <w:rPr>
          <w:sz w:val="20"/>
          <w:szCs w:val="20"/>
        </w:rPr>
        <w:t xml:space="preserve">ble to members with DC </w:t>
      </w:r>
      <w:r w:rsidR="00767A2A">
        <w:rPr>
          <w:sz w:val="20"/>
          <w:szCs w:val="20"/>
        </w:rPr>
        <w:t>accounts</w:t>
      </w:r>
      <w:r w:rsidRPr="00904562">
        <w:rPr>
          <w:sz w:val="20"/>
          <w:szCs w:val="20"/>
        </w:rPr>
        <w:t>.</w:t>
      </w:r>
      <w:r w:rsidR="00C1411E">
        <w:rPr>
          <w:sz w:val="20"/>
          <w:szCs w:val="20"/>
        </w:rPr>
        <w:t xml:space="preserve">  </w:t>
      </w:r>
      <w:r w:rsidRPr="00904562">
        <w:rPr>
          <w:sz w:val="20"/>
          <w:szCs w:val="20"/>
        </w:rPr>
        <w:t>In addition</w:t>
      </w:r>
      <w:r w:rsidR="007A1A29" w:rsidRPr="00904562">
        <w:rPr>
          <w:sz w:val="20"/>
          <w:szCs w:val="20"/>
        </w:rPr>
        <w:t>, the Trustee prepares and keeps under review a Statement of Investment Principles (SIP) that describes its investment policy for the Scheme as a whole</w:t>
      </w:r>
      <w:r w:rsidR="0012191A">
        <w:rPr>
          <w:sz w:val="20"/>
          <w:szCs w:val="20"/>
        </w:rPr>
        <w:t>, including the DC accounts</w:t>
      </w:r>
      <w:r w:rsidR="007A1A29" w:rsidRPr="00904562">
        <w:rPr>
          <w:sz w:val="20"/>
          <w:szCs w:val="20"/>
        </w:rPr>
        <w:t xml:space="preserve">. </w:t>
      </w:r>
    </w:p>
    <w:p w14:paraId="2A2525CC" w14:textId="140AAFA2" w:rsidR="007A1A29" w:rsidRPr="009422DB" w:rsidRDefault="007A1A29" w:rsidP="00EF0E1B">
      <w:pPr>
        <w:pStyle w:val="BodyText"/>
        <w:spacing w:before="120" w:after="120"/>
        <w:ind w:left="0" w:firstLine="0"/>
        <w:jc w:val="both"/>
        <w:rPr>
          <w:sz w:val="20"/>
          <w:szCs w:val="20"/>
        </w:rPr>
      </w:pPr>
      <w:r w:rsidRPr="00904562">
        <w:rPr>
          <w:sz w:val="20"/>
          <w:szCs w:val="20"/>
        </w:rPr>
        <w:t>A copy of the full SIP is available on request</w:t>
      </w:r>
      <w:r w:rsidR="0063031E">
        <w:rPr>
          <w:sz w:val="20"/>
          <w:szCs w:val="20"/>
        </w:rPr>
        <w:t xml:space="preserve"> or a copy</w:t>
      </w:r>
      <w:r w:rsidR="00A605EB" w:rsidRPr="009422DB">
        <w:rPr>
          <w:sz w:val="20"/>
          <w:szCs w:val="20"/>
        </w:rPr>
        <w:t xml:space="preserve"> can be found at </w:t>
      </w:r>
      <w:hyperlink r:id="rId15" w:history="1">
        <w:r w:rsidR="0063031E" w:rsidRPr="0063031E">
          <w:rPr>
            <w:rStyle w:val="Hyperlink"/>
            <w:sz w:val="20"/>
            <w:szCs w:val="20"/>
          </w:rPr>
          <w:t>http://www.nhbc.co.uk/nhbc-pension-scheme</w:t>
        </w:r>
      </w:hyperlink>
      <w:r w:rsidR="00A605EB" w:rsidRPr="009422DB">
        <w:rPr>
          <w:sz w:val="20"/>
          <w:szCs w:val="20"/>
        </w:rPr>
        <w:t>.</w:t>
      </w:r>
      <w:r w:rsidR="00F31301">
        <w:rPr>
          <w:sz w:val="20"/>
          <w:szCs w:val="20"/>
        </w:rPr>
        <w:t xml:space="preserve"> The SIP was updated in April 2025 and there were no changes in relation to the DC investments.</w:t>
      </w:r>
    </w:p>
    <w:p w14:paraId="432637A5" w14:textId="21053B45" w:rsidR="009A086C" w:rsidRDefault="00E82164" w:rsidP="00BA0FB4">
      <w:pPr>
        <w:spacing w:before="240"/>
        <w:jc w:val="both"/>
        <w:rPr>
          <w:b/>
          <w:sz w:val="24"/>
          <w:szCs w:val="24"/>
        </w:rPr>
      </w:pPr>
      <w:r>
        <w:rPr>
          <w:b/>
          <w:sz w:val="24"/>
          <w:szCs w:val="24"/>
        </w:rPr>
        <w:t>NET INVESTMENT RETURNS</w:t>
      </w:r>
    </w:p>
    <w:p w14:paraId="60BF8AD9" w14:textId="645263C6" w:rsidR="00E82164" w:rsidRDefault="00EC2156" w:rsidP="00ED53A8">
      <w:pPr>
        <w:ind w:left="0" w:firstLine="0"/>
        <w:jc w:val="both"/>
        <w:rPr>
          <w:bCs/>
          <w:sz w:val="20"/>
          <w:szCs w:val="20"/>
        </w:rPr>
      </w:pPr>
      <w:r>
        <w:rPr>
          <w:bCs/>
          <w:sz w:val="20"/>
          <w:szCs w:val="20"/>
        </w:rPr>
        <w:t xml:space="preserve">The </w:t>
      </w:r>
      <w:r w:rsidR="00A73D3C">
        <w:rPr>
          <w:bCs/>
          <w:sz w:val="20"/>
          <w:szCs w:val="20"/>
        </w:rPr>
        <w:t xml:space="preserve">Trustee is required to report on the net investment returns for </w:t>
      </w:r>
      <w:r w:rsidR="00412DBA">
        <w:rPr>
          <w:bCs/>
          <w:sz w:val="20"/>
          <w:szCs w:val="20"/>
        </w:rPr>
        <w:t xml:space="preserve">each of the investment options and funds in which </w:t>
      </w:r>
      <w:r w:rsidR="001777E1">
        <w:rPr>
          <w:bCs/>
          <w:sz w:val="20"/>
          <w:szCs w:val="20"/>
        </w:rPr>
        <w:t>members were invested during the year ending 31 March 202</w:t>
      </w:r>
      <w:r w:rsidR="0011613D">
        <w:rPr>
          <w:bCs/>
          <w:sz w:val="20"/>
          <w:szCs w:val="20"/>
        </w:rPr>
        <w:t>5</w:t>
      </w:r>
      <w:r w:rsidR="001777E1">
        <w:rPr>
          <w:bCs/>
          <w:sz w:val="20"/>
          <w:szCs w:val="20"/>
        </w:rPr>
        <w:t xml:space="preserve">.  </w:t>
      </w:r>
      <w:r w:rsidR="007479DD">
        <w:rPr>
          <w:bCs/>
          <w:sz w:val="20"/>
          <w:szCs w:val="20"/>
        </w:rPr>
        <w:t xml:space="preserve">Net investment returns are the performance of each of the investment options and funds </w:t>
      </w:r>
      <w:r w:rsidR="009E2107">
        <w:rPr>
          <w:bCs/>
          <w:sz w:val="20"/>
          <w:szCs w:val="20"/>
        </w:rPr>
        <w:t>less all member borne charges and transaction costs</w:t>
      </w:r>
      <w:r w:rsidR="00B62E41">
        <w:rPr>
          <w:bCs/>
          <w:sz w:val="20"/>
          <w:szCs w:val="20"/>
        </w:rPr>
        <w:t>.</w:t>
      </w:r>
      <w:r w:rsidR="003346FA">
        <w:rPr>
          <w:bCs/>
          <w:sz w:val="20"/>
          <w:szCs w:val="20"/>
        </w:rPr>
        <w:t xml:space="preserve">  The information </w:t>
      </w:r>
      <w:r w:rsidR="00C9527E">
        <w:rPr>
          <w:bCs/>
          <w:sz w:val="20"/>
          <w:szCs w:val="20"/>
        </w:rPr>
        <w:t xml:space="preserve">provided in the </w:t>
      </w:r>
      <w:r w:rsidR="008E769D">
        <w:rPr>
          <w:bCs/>
          <w:sz w:val="20"/>
          <w:szCs w:val="20"/>
        </w:rPr>
        <w:t xml:space="preserve">following </w:t>
      </w:r>
      <w:r w:rsidR="00C9527E">
        <w:rPr>
          <w:bCs/>
          <w:sz w:val="20"/>
          <w:szCs w:val="20"/>
        </w:rPr>
        <w:t xml:space="preserve">tables </w:t>
      </w:r>
      <w:r w:rsidR="003346FA">
        <w:rPr>
          <w:bCs/>
          <w:sz w:val="20"/>
          <w:szCs w:val="20"/>
        </w:rPr>
        <w:t xml:space="preserve">has been provided by </w:t>
      </w:r>
      <w:r w:rsidR="006B1682">
        <w:rPr>
          <w:bCs/>
          <w:sz w:val="20"/>
          <w:szCs w:val="20"/>
        </w:rPr>
        <w:t>Aviva and Prudential.</w:t>
      </w:r>
    </w:p>
    <w:p w14:paraId="30327455" w14:textId="0D24A7A4" w:rsidR="00ED53A8" w:rsidRDefault="00C304D6" w:rsidP="00ED53A8">
      <w:pPr>
        <w:ind w:left="0" w:firstLine="0"/>
        <w:jc w:val="both"/>
        <w:rPr>
          <w:bCs/>
          <w:sz w:val="20"/>
          <w:szCs w:val="20"/>
        </w:rPr>
      </w:pPr>
      <w:r>
        <w:rPr>
          <w:bCs/>
          <w:sz w:val="20"/>
          <w:szCs w:val="20"/>
        </w:rPr>
        <w:t>When preparing this section of the statement, the Trustee has taken account of the DWP’s</w:t>
      </w:r>
      <w:r w:rsidR="005D68AB">
        <w:rPr>
          <w:bCs/>
          <w:sz w:val="20"/>
          <w:szCs w:val="20"/>
        </w:rPr>
        <w:t xml:space="preserve"> statutory guidance on “Completing the annual Value for Members assessment and Reporting Net Investment Returns</w:t>
      </w:r>
      <w:r w:rsidR="00A34B4E">
        <w:rPr>
          <w:bCs/>
          <w:sz w:val="20"/>
          <w:szCs w:val="20"/>
        </w:rPr>
        <w:t>”.</w:t>
      </w:r>
    </w:p>
    <w:p w14:paraId="3A74A6E5" w14:textId="77777777" w:rsidR="00031B1A" w:rsidRDefault="00031B1A" w:rsidP="00ED53A8">
      <w:pPr>
        <w:spacing w:after="240"/>
        <w:ind w:left="0" w:firstLine="0"/>
        <w:jc w:val="both"/>
        <w:rPr>
          <w:b/>
          <w:i/>
          <w:iCs/>
          <w:sz w:val="20"/>
          <w:szCs w:val="20"/>
        </w:rPr>
      </w:pPr>
    </w:p>
    <w:p w14:paraId="592A1FEA" w14:textId="77777777" w:rsidR="00031B1A" w:rsidRDefault="00031B1A" w:rsidP="00ED53A8">
      <w:pPr>
        <w:spacing w:after="240"/>
        <w:ind w:left="0" w:firstLine="0"/>
        <w:jc w:val="both"/>
        <w:rPr>
          <w:b/>
          <w:i/>
          <w:iCs/>
          <w:sz w:val="20"/>
          <w:szCs w:val="20"/>
        </w:rPr>
      </w:pPr>
    </w:p>
    <w:p w14:paraId="55B97ED2" w14:textId="77777777" w:rsidR="00031B1A" w:rsidRDefault="00031B1A" w:rsidP="00ED53A8">
      <w:pPr>
        <w:spacing w:after="240"/>
        <w:ind w:left="0" w:firstLine="0"/>
        <w:jc w:val="both"/>
        <w:rPr>
          <w:b/>
          <w:i/>
          <w:iCs/>
          <w:sz w:val="20"/>
          <w:szCs w:val="20"/>
        </w:rPr>
      </w:pPr>
    </w:p>
    <w:p w14:paraId="26CC4794" w14:textId="40173783" w:rsidR="00A34B4E" w:rsidRPr="004E6591" w:rsidRDefault="00D87647" w:rsidP="00ED53A8">
      <w:pPr>
        <w:spacing w:after="240"/>
        <w:ind w:left="0" w:firstLine="0"/>
        <w:jc w:val="both"/>
        <w:rPr>
          <w:b/>
          <w:i/>
          <w:iCs/>
          <w:sz w:val="20"/>
          <w:szCs w:val="20"/>
        </w:rPr>
      </w:pPr>
      <w:r w:rsidRPr="004E6591">
        <w:rPr>
          <w:b/>
          <w:i/>
          <w:iCs/>
          <w:sz w:val="20"/>
          <w:szCs w:val="20"/>
        </w:rPr>
        <w:lastRenderedPageBreak/>
        <w:t xml:space="preserve">Aviva AVC </w:t>
      </w:r>
      <w:r w:rsidR="004E6591" w:rsidRPr="004E6591">
        <w:rPr>
          <w:b/>
          <w:i/>
          <w:iCs/>
          <w:sz w:val="20"/>
          <w:szCs w:val="20"/>
        </w:rPr>
        <w:t>accounts</w:t>
      </w:r>
    </w:p>
    <w:tbl>
      <w:tblPr>
        <w:tblW w:w="9639"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4A0" w:firstRow="1" w:lastRow="0" w:firstColumn="1" w:lastColumn="0" w:noHBand="0" w:noVBand="1"/>
      </w:tblPr>
      <w:tblGrid>
        <w:gridCol w:w="4502"/>
        <w:gridCol w:w="2568"/>
        <w:gridCol w:w="2569"/>
      </w:tblGrid>
      <w:tr w:rsidR="000C010C" w:rsidRPr="000C010C" w14:paraId="753D4BC5" w14:textId="77777777" w:rsidTr="00284B54">
        <w:trPr>
          <w:trHeight w:val="830"/>
          <w:tblHeader/>
        </w:trPr>
        <w:tc>
          <w:tcPr>
            <w:tcW w:w="4502" w:type="dxa"/>
            <w:shd w:val="clear" w:color="auto" w:fill="BFBFBF" w:themeFill="background1" w:themeFillShade="BF"/>
            <w:vAlign w:val="center"/>
          </w:tcPr>
          <w:p w14:paraId="78F6ED69" w14:textId="77777777" w:rsidR="008F7D6B" w:rsidRPr="008574A8" w:rsidRDefault="008F7D6B" w:rsidP="008F7D6B">
            <w:pPr>
              <w:spacing w:before="60" w:after="60"/>
              <w:rPr>
                <w:b/>
                <w:color w:val="000000" w:themeColor="text1"/>
                <w:sz w:val="20"/>
                <w:szCs w:val="20"/>
              </w:rPr>
            </w:pPr>
            <w:r w:rsidRPr="008574A8">
              <w:rPr>
                <w:b/>
                <w:color w:val="000000" w:themeColor="text1"/>
                <w:sz w:val="20"/>
                <w:szCs w:val="20"/>
              </w:rPr>
              <w:t>Fund name</w:t>
            </w:r>
          </w:p>
        </w:tc>
        <w:tc>
          <w:tcPr>
            <w:tcW w:w="2568" w:type="dxa"/>
            <w:shd w:val="clear" w:color="auto" w:fill="BFBFBF" w:themeFill="background1" w:themeFillShade="BF"/>
            <w:vAlign w:val="center"/>
          </w:tcPr>
          <w:p w14:paraId="33FEC35D" w14:textId="77777777" w:rsidR="008F7D6B" w:rsidRPr="008574A8" w:rsidRDefault="008F7D6B" w:rsidP="008E2433">
            <w:pPr>
              <w:spacing w:before="0" w:after="0"/>
              <w:jc w:val="center"/>
              <w:rPr>
                <w:b/>
                <w:bCs/>
                <w:color w:val="000000" w:themeColor="text1"/>
                <w:sz w:val="20"/>
                <w:szCs w:val="20"/>
              </w:rPr>
            </w:pPr>
            <w:r w:rsidRPr="008574A8">
              <w:rPr>
                <w:b/>
                <w:bCs/>
                <w:color w:val="000000" w:themeColor="text1"/>
                <w:sz w:val="20"/>
                <w:szCs w:val="20"/>
              </w:rPr>
              <w:t>Net investment return</w:t>
            </w:r>
          </w:p>
          <w:p w14:paraId="5E9AA51A" w14:textId="77777777" w:rsidR="008E2433" w:rsidRPr="008574A8" w:rsidRDefault="008F7D6B" w:rsidP="008E2433">
            <w:pPr>
              <w:spacing w:before="0" w:after="0"/>
              <w:jc w:val="center"/>
              <w:rPr>
                <w:b/>
                <w:bCs/>
                <w:color w:val="000000" w:themeColor="text1"/>
                <w:sz w:val="20"/>
                <w:szCs w:val="20"/>
              </w:rPr>
            </w:pPr>
            <w:r w:rsidRPr="008574A8">
              <w:rPr>
                <w:b/>
                <w:bCs/>
                <w:color w:val="000000" w:themeColor="text1"/>
                <w:sz w:val="20"/>
                <w:szCs w:val="20"/>
              </w:rPr>
              <w:t>5 years to</w:t>
            </w:r>
          </w:p>
          <w:p w14:paraId="54D35EDD" w14:textId="4231F46C" w:rsidR="008F7D6B" w:rsidRPr="008574A8" w:rsidRDefault="008F7D6B" w:rsidP="008E2433">
            <w:pPr>
              <w:spacing w:before="0" w:after="0"/>
              <w:jc w:val="center"/>
              <w:rPr>
                <w:b/>
                <w:bCs/>
                <w:color w:val="000000" w:themeColor="text1"/>
                <w:sz w:val="20"/>
                <w:szCs w:val="20"/>
              </w:rPr>
            </w:pPr>
            <w:r w:rsidRPr="008574A8">
              <w:rPr>
                <w:b/>
                <w:bCs/>
                <w:color w:val="000000" w:themeColor="text1"/>
                <w:sz w:val="20"/>
                <w:szCs w:val="20"/>
              </w:rPr>
              <w:t xml:space="preserve">31 </w:t>
            </w:r>
            <w:r w:rsidR="00ED53A8" w:rsidRPr="008574A8">
              <w:rPr>
                <w:b/>
                <w:bCs/>
                <w:color w:val="000000" w:themeColor="text1"/>
                <w:sz w:val="20"/>
                <w:szCs w:val="20"/>
              </w:rPr>
              <w:t>March</w:t>
            </w:r>
            <w:r w:rsidRPr="008574A8">
              <w:rPr>
                <w:b/>
                <w:bCs/>
                <w:color w:val="000000" w:themeColor="text1"/>
                <w:sz w:val="20"/>
                <w:szCs w:val="20"/>
              </w:rPr>
              <w:t xml:space="preserve"> 202</w:t>
            </w:r>
            <w:r w:rsidR="0011613D">
              <w:rPr>
                <w:b/>
                <w:bCs/>
                <w:color w:val="000000" w:themeColor="text1"/>
                <w:sz w:val="20"/>
                <w:szCs w:val="20"/>
              </w:rPr>
              <w:t>5</w:t>
            </w:r>
          </w:p>
        </w:tc>
        <w:tc>
          <w:tcPr>
            <w:tcW w:w="2569" w:type="dxa"/>
            <w:shd w:val="clear" w:color="auto" w:fill="BFBFBF" w:themeFill="background1" w:themeFillShade="BF"/>
            <w:vAlign w:val="center"/>
          </w:tcPr>
          <w:p w14:paraId="4BEB2791" w14:textId="77777777" w:rsidR="008F7D6B" w:rsidRPr="008574A8" w:rsidRDefault="008F7D6B" w:rsidP="008E2433">
            <w:pPr>
              <w:spacing w:before="0" w:after="0"/>
              <w:jc w:val="center"/>
              <w:rPr>
                <w:b/>
                <w:bCs/>
                <w:color w:val="000000" w:themeColor="text1"/>
                <w:sz w:val="20"/>
                <w:szCs w:val="20"/>
              </w:rPr>
            </w:pPr>
            <w:r w:rsidRPr="008574A8">
              <w:rPr>
                <w:b/>
                <w:bCs/>
                <w:color w:val="000000" w:themeColor="text1"/>
                <w:sz w:val="20"/>
                <w:szCs w:val="20"/>
              </w:rPr>
              <w:t>Net investment return</w:t>
            </w:r>
          </w:p>
          <w:p w14:paraId="1759B301" w14:textId="56390FBD" w:rsidR="008F7D6B" w:rsidRPr="008574A8" w:rsidRDefault="008F7D6B" w:rsidP="00ED53A8">
            <w:pPr>
              <w:spacing w:before="0" w:after="0"/>
              <w:jc w:val="center"/>
              <w:rPr>
                <w:b/>
                <w:bCs/>
                <w:color w:val="000000" w:themeColor="text1"/>
                <w:sz w:val="20"/>
                <w:szCs w:val="20"/>
              </w:rPr>
            </w:pPr>
            <w:r w:rsidRPr="008574A8">
              <w:rPr>
                <w:b/>
                <w:bCs/>
                <w:color w:val="000000" w:themeColor="text1"/>
                <w:sz w:val="20"/>
                <w:szCs w:val="20"/>
              </w:rPr>
              <w:t>1 year to</w:t>
            </w:r>
          </w:p>
          <w:p w14:paraId="6734F238" w14:textId="2AE3FCDA" w:rsidR="008F7D6B" w:rsidRPr="008574A8" w:rsidRDefault="008F7D6B" w:rsidP="008E2433">
            <w:pPr>
              <w:spacing w:before="0" w:after="0"/>
              <w:jc w:val="center"/>
              <w:rPr>
                <w:b/>
                <w:color w:val="000000" w:themeColor="text1"/>
                <w:sz w:val="20"/>
                <w:szCs w:val="20"/>
              </w:rPr>
            </w:pPr>
            <w:r w:rsidRPr="008574A8">
              <w:rPr>
                <w:b/>
                <w:bCs/>
                <w:color w:val="000000" w:themeColor="text1"/>
                <w:sz w:val="20"/>
                <w:szCs w:val="20"/>
              </w:rPr>
              <w:t xml:space="preserve">31 </w:t>
            </w:r>
            <w:r w:rsidR="00ED53A8" w:rsidRPr="008574A8">
              <w:rPr>
                <w:b/>
                <w:bCs/>
                <w:color w:val="000000" w:themeColor="text1"/>
                <w:sz w:val="20"/>
                <w:szCs w:val="20"/>
              </w:rPr>
              <w:t>March</w:t>
            </w:r>
            <w:r w:rsidRPr="008574A8">
              <w:rPr>
                <w:b/>
                <w:bCs/>
                <w:color w:val="000000" w:themeColor="text1"/>
                <w:sz w:val="20"/>
                <w:szCs w:val="20"/>
              </w:rPr>
              <w:t xml:space="preserve"> 202</w:t>
            </w:r>
            <w:r w:rsidR="0011613D">
              <w:rPr>
                <w:b/>
                <w:bCs/>
                <w:color w:val="000000" w:themeColor="text1"/>
                <w:sz w:val="20"/>
                <w:szCs w:val="20"/>
              </w:rPr>
              <w:t>5</w:t>
            </w:r>
          </w:p>
        </w:tc>
      </w:tr>
      <w:tr w:rsidR="000C010C" w:rsidRPr="000C010C" w14:paraId="09FE8593" w14:textId="77777777" w:rsidTr="005D4764">
        <w:tc>
          <w:tcPr>
            <w:tcW w:w="4502" w:type="dxa"/>
            <w:vAlign w:val="center"/>
          </w:tcPr>
          <w:p w14:paraId="591C6CB4" w14:textId="1C667FA8" w:rsidR="008F7D6B" w:rsidRPr="008574A8" w:rsidRDefault="008E2433" w:rsidP="008F7D6B">
            <w:pPr>
              <w:spacing w:before="60" w:after="60"/>
              <w:rPr>
                <w:color w:val="000000" w:themeColor="text1"/>
                <w:sz w:val="20"/>
                <w:szCs w:val="20"/>
              </w:rPr>
            </w:pPr>
            <w:r w:rsidRPr="008574A8">
              <w:rPr>
                <w:color w:val="000000" w:themeColor="text1"/>
                <w:sz w:val="20"/>
                <w:szCs w:val="20"/>
              </w:rPr>
              <w:t>With-Profits</w:t>
            </w:r>
            <w:r w:rsidR="00E943A3">
              <w:rPr>
                <w:color w:val="000000" w:themeColor="text1"/>
                <w:sz w:val="20"/>
                <w:szCs w:val="20"/>
              </w:rPr>
              <w:t xml:space="preserve"> (CGNU)</w:t>
            </w:r>
          </w:p>
        </w:tc>
        <w:tc>
          <w:tcPr>
            <w:tcW w:w="2568" w:type="dxa"/>
            <w:vAlign w:val="center"/>
          </w:tcPr>
          <w:p w14:paraId="32830C3C" w14:textId="1881B136" w:rsidR="008F7D6B" w:rsidRPr="0011613D" w:rsidRDefault="00C62F56" w:rsidP="005D4764">
            <w:pPr>
              <w:spacing w:before="60" w:after="60"/>
              <w:jc w:val="center"/>
              <w:rPr>
                <w:color w:val="FF0000"/>
                <w:sz w:val="20"/>
                <w:szCs w:val="20"/>
              </w:rPr>
            </w:pPr>
            <w:r w:rsidRPr="00C62F56">
              <w:rPr>
                <w:color w:val="000000" w:themeColor="text1"/>
                <w:sz w:val="20"/>
                <w:szCs w:val="20"/>
              </w:rPr>
              <w:t>3.2</w:t>
            </w:r>
            <w:r w:rsidR="008F7D6B" w:rsidRPr="00C62F56">
              <w:rPr>
                <w:color w:val="000000" w:themeColor="text1"/>
                <w:sz w:val="20"/>
                <w:szCs w:val="20"/>
              </w:rPr>
              <w:t>% pa</w:t>
            </w:r>
          </w:p>
        </w:tc>
        <w:tc>
          <w:tcPr>
            <w:tcW w:w="2569" w:type="dxa"/>
            <w:vAlign w:val="center"/>
          </w:tcPr>
          <w:p w14:paraId="68792147" w14:textId="6F899FFD" w:rsidR="008F7D6B" w:rsidRPr="0011613D" w:rsidRDefault="00C62F56" w:rsidP="005D4764">
            <w:pPr>
              <w:spacing w:before="60" w:after="60"/>
              <w:jc w:val="center"/>
              <w:rPr>
                <w:color w:val="FF0000"/>
                <w:sz w:val="20"/>
                <w:szCs w:val="20"/>
              </w:rPr>
            </w:pPr>
            <w:r w:rsidRPr="00C62F56">
              <w:rPr>
                <w:color w:val="000000" w:themeColor="text1"/>
                <w:sz w:val="20"/>
                <w:szCs w:val="20"/>
              </w:rPr>
              <w:t>12.4</w:t>
            </w:r>
            <w:r w:rsidR="008F7D6B" w:rsidRPr="00C62F56">
              <w:rPr>
                <w:color w:val="000000" w:themeColor="text1"/>
                <w:sz w:val="20"/>
                <w:szCs w:val="20"/>
              </w:rPr>
              <w:t>%</w:t>
            </w:r>
          </w:p>
        </w:tc>
      </w:tr>
      <w:tr w:rsidR="000C010C" w:rsidRPr="000C010C" w14:paraId="49686ED4" w14:textId="77777777" w:rsidTr="005D4764">
        <w:tc>
          <w:tcPr>
            <w:tcW w:w="4502" w:type="dxa"/>
            <w:vAlign w:val="center"/>
          </w:tcPr>
          <w:p w14:paraId="045717A5" w14:textId="7B09BB84" w:rsidR="008F7D6B" w:rsidRPr="008574A8" w:rsidRDefault="00244919" w:rsidP="008F7D6B">
            <w:pPr>
              <w:spacing w:before="60" w:after="60"/>
              <w:rPr>
                <w:color w:val="000000" w:themeColor="text1"/>
                <w:sz w:val="20"/>
                <w:szCs w:val="20"/>
              </w:rPr>
            </w:pPr>
            <w:r w:rsidRPr="008574A8">
              <w:rPr>
                <w:color w:val="000000" w:themeColor="text1"/>
                <w:sz w:val="20"/>
                <w:szCs w:val="20"/>
              </w:rPr>
              <w:t>Mixed Investment (</w:t>
            </w:r>
            <w:r w:rsidR="0068217E" w:rsidRPr="008574A8">
              <w:rPr>
                <w:color w:val="000000" w:themeColor="text1"/>
                <w:sz w:val="20"/>
                <w:szCs w:val="20"/>
              </w:rPr>
              <w:t>40-85% Shares)</w:t>
            </w:r>
          </w:p>
        </w:tc>
        <w:tc>
          <w:tcPr>
            <w:tcW w:w="2568" w:type="dxa"/>
            <w:vAlign w:val="center"/>
          </w:tcPr>
          <w:p w14:paraId="1C32D41C" w14:textId="0D858D89" w:rsidR="008F7D6B" w:rsidRPr="00C62F56" w:rsidRDefault="00C62F56" w:rsidP="005D4764">
            <w:pPr>
              <w:spacing w:before="60" w:after="60"/>
              <w:jc w:val="center"/>
              <w:rPr>
                <w:color w:val="000000" w:themeColor="text1"/>
                <w:sz w:val="20"/>
                <w:szCs w:val="20"/>
              </w:rPr>
            </w:pPr>
            <w:r w:rsidRPr="00C62F56">
              <w:rPr>
                <w:color w:val="000000" w:themeColor="text1"/>
                <w:sz w:val="20"/>
                <w:szCs w:val="20"/>
              </w:rPr>
              <w:t>7.0</w:t>
            </w:r>
            <w:r w:rsidR="008F7D6B" w:rsidRPr="00C62F56">
              <w:rPr>
                <w:color w:val="000000" w:themeColor="text1"/>
                <w:sz w:val="20"/>
                <w:szCs w:val="20"/>
              </w:rPr>
              <w:t>% pa</w:t>
            </w:r>
          </w:p>
        </w:tc>
        <w:tc>
          <w:tcPr>
            <w:tcW w:w="2569" w:type="dxa"/>
            <w:vAlign w:val="center"/>
          </w:tcPr>
          <w:p w14:paraId="64FFEE5E" w14:textId="11DEFE38" w:rsidR="008F7D6B" w:rsidRPr="00C62F56" w:rsidRDefault="00C62F56" w:rsidP="005D4764">
            <w:pPr>
              <w:spacing w:before="60" w:after="60"/>
              <w:jc w:val="center"/>
              <w:rPr>
                <w:color w:val="000000" w:themeColor="text1"/>
                <w:sz w:val="20"/>
                <w:szCs w:val="20"/>
              </w:rPr>
            </w:pPr>
            <w:r w:rsidRPr="00C62F56">
              <w:rPr>
                <w:color w:val="000000" w:themeColor="text1"/>
                <w:sz w:val="20"/>
                <w:szCs w:val="20"/>
              </w:rPr>
              <w:t>3.5</w:t>
            </w:r>
            <w:r w:rsidR="008F7D6B" w:rsidRPr="00C62F56">
              <w:rPr>
                <w:color w:val="000000" w:themeColor="text1"/>
                <w:sz w:val="20"/>
                <w:szCs w:val="20"/>
              </w:rPr>
              <w:t>%</w:t>
            </w:r>
          </w:p>
        </w:tc>
      </w:tr>
      <w:tr w:rsidR="000C010C" w:rsidRPr="000C010C" w14:paraId="018A2CA2" w14:textId="77777777" w:rsidTr="005D4764">
        <w:tc>
          <w:tcPr>
            <w:tcW w:w="4502" w:type="dxa"/>
            <w:vAlign w:val="center"/>
          </w:tcPr>
          <w:p w14:paraId="6C01032F" w14:textId="32718AA7" w:rsidR="008F7D6B" w:rsidRPr="008574A8" w:rsidRDefault="007A49CC" w:rsidP="008F7D6B">
            <w:pPr>
              <w:spacing w:before="60" w:after="60"/>
              <w:rPr>
                <w:color w:val="000000" w:themeColor="text1"/>
                <w:sz w:val="20"/>
                <w:szCs w:val="20"/>
              </w:rPr>
            </w:pPr>
            <w:r w:rsidRPr="008574A8">
              <w:rPr>
                <w:color w:val="000000" w:themeColor="text1"/>
                <w:sz w:val="20"/>
                <w:szCs w:val="20"/>
              </w:rPr>
              <w:t>My Future Focus Consolidation</w:t>
            </w:r>
          </w:p>
        </w:tc>
        <w:tc>
          <w:tcPr>
            <w:tcW w:w="2568" w:type="dxa"/>
            <w:vAlign w:val="center"/>
          </w:tcPr>
          <w:p w14:paraId="7DE4202D" w14:textId="690E14E3" w:rsidR="008F7D6B" w:rsidRPr="00CD3636" w:rsidRDefault="00CD3636" w:rsidP="005D4764">
            <w:pPr>
              <w:spacing w:before="60" w:after="60"/>
              <w:jc w:val="center"/>
              <w:rPr>
                <w:color w:val="000000" w:themeColor="text1"/>
                <w:sz w:val="20"/>
                <w:szCs w:val="20"/>
              </w:rPr>
            </w:pPr>
            <w:r w:rsidRPr="00CD3636">
              <w:rPr>
                <w:color w:val="000000" w:themeColor="text1"/>
                <w:sz w:val="20"/>
                <w:szCs w:val="20"/>
              </w:rPr>
              <w:t>1.7</w:t>
            </w:r>
            <w:r w:rsidR="00B52D4C" w:rsidRPr="00CD3636">
              <w:rPr>
                <w:color w:val="000000" w:themeColor="text1"/>
                <w:sz w:val="20"/>
                <w:szCs w:val="20"/>
              </w:rPr>
              <w:t>%</w:t>
            </w:r>
            <w:r w:rsidR="00D534D2" w:rsidRPr="00CD3636">
              <w:rPr>
                <w:color w:val="000000" w:themeColor="text1"/>
                <w:sz w:val="20"/>
                <w:szCs w:val="20"/>
              </w:rPr>
              <w:t xml:space="preserve"> pa</w:t>
            </w:r>
          </w:p>
        </w:tc>
        <w:tc>
          <w:tcPr>
            <w:tcW w:w="2569" w:type="dxa"/>
            <w:vAlign w:val="center"/>
          </w:tcPr>
          <w:p w14:paraId="33B35329" w14:textId="765A6639" w:rsidR="008F7D6B" w:rsidRPr="00CD3636" w:rsidRDefault="00CD3636" w:rsidP="005D4764">
            <w:pPr>
              <w:spacing w:before="60" w:after="60"/>
              <w:jc w:val="center"/>
              <w:rPr>
                <w:color w:val="000000" w:themeColor="text1"/>
                <w:sz w:val="20"/>
                <w:szCs w:val="20"/>
              </w:rPr>
            </w:pPr>
            <w:r w:rsidRPr="00CD3636">
              <w:rPr>
                <w:color w:val="000000" w:themeColor="text1"/>
                <w:sz w:val="20"/>
                <w:szCs w:val="20"/>
              </w:rPr>
              <w:t>3.5</w:t>
            </w:r>
            <w:r w:rsidR="00B52D4C" w:rsidRPr="00CD3636">
              <w:rPr>
                <w:color w:val="000000" w:themeColor="text1"/>
                <w:sz w:val="20"/>
                <w:szCs w:val="20"/>
              </w:rPr>
              <w:t>%</w:t>
            </w:r>
          </w:p>
        </w:tc>
      </w:tr>
      <w:tr w:rsidR="000C010C" w:rsidRPr="000C010C" w14:paraId="10526352" w14:textId="77777777" w:rsidTr="005D4764">
        <w:tc>
          <w:tcPr>
            <w:tcW w:w="4502" w:type="dxa"/>
            <w:vAlign w:val="center"/>
          </w:tcPr>
          <w:p w14:paraId="2CDEE312" w14:textId="55CEDB38" w:rsidR="008F7D6B" w:rsidRPr="008574A8" w:rsidRDefault="007A49CC" w:rsidP="008F7D6B">
            <w:pPr>
              <w:spacing w:before="60" w:after="60"/>
              <w:rPr>
                <w:color w:val="000000" w:themeColor="text1"/>
                <w:sz w:val="20"/>
                <w:szCs w:val="20"/>
              </w:rPr>
            </w:pPr>
            <w:r w:rsidRPr="008574A8">
              <w:rPr>
                <w:color w:val="000000" w:themeColor="text1"/>
                <w:sz w:val="20"/>
                <w:szCs w:val="20"/>
              </w:rPr>
              <w:t xml:space="preserve">Pacific </w:t>
            </w:r>
            <w:r w:rsidR="00820D3F" w:rsidRPr="008574A8">
              <w:rPr>
                <w:color w:val="000000" w:themeColor="text1"/>
                <w:sz w:val="20"/>
                <w:szCs w:val="20"/>
              </w:rPr>
              <w:t>Equity</w:t>
            </w:r>
          </w:p>
        </w:tc>
        <w:tc>
          <w:tcPr>
            <w:tcW w:w="2568" w:type="dxa"/>
            <w:vAlign w:val="center"/>
          </w:tcPr>
          <w:p w14:paraId="7DBA076C" w14:textId="09F2B013" w:rsidR="008F7D6B" w:rsidRPr="009B3001" w:rsidRDefault="009B3001" w:rsidP="005D4764">
            <w:pPr>
              <w:spacing w:before="60" w:after="60"/>
              <w:jc w:val="center"/>
              <w:rPr>
                <w:color w:val="000000" w:themeColor="text1"/>
                <w:sz w:val="20"/>
                <w:szCs w:val="20"/>
              </w:rPr>
            </w:pPr>
            <w:r w:rsidRPr="009B3001">
              <w:rPr>
                <w:color w:val="000000" w:themeColor="text1"/>
                <w:sz w:val="20"/>
                <w:szCs w:val="20"/>
              </w:rPr>
              <w:t>9.6</w:t>
            </w:r>
            <w:r w:rsidR="008F7D6B" w:rsidRPr="009B3001">
              <w:rPr>
                <w:color w:val="000000" w:themeColor="text1"/>
                <w:sz w:val="20"/>
                <w:szCs w:val="20"/>
              </w:rPr>
              <w:t>% pa</w:t>
            </w:r>
          </w:p>
        </w:tc>
        <w:tc>
          <w:tcPr>
            <w:tcW w:w="2569" w:type="dxa"/>
            <w:vAlign w:val="center"/>
          </w:tcPr>
          <w:p w14:paraId="64BBB66D" w14:textId="766B1D9F" w:rsidR="008F7D6B" w:rsidRPr="009B3001" w:rsidRDefault="009B3001" w:rsidP="005D4764">
            <w:pPr>
              <w:spacing w:before="60" w:after="60"/>
              <w:jc w:val="center"/>
              <w:rPr>
                <w:color w:val="000000" w:themeColor="text1"/>
                <w:sz w:val="20"/>
                <w:szCs w:val="20"/>
              </w:rPr>
            </w:pPr>
            <w:r w:rsidRPr="009B3001">
              <w:rPr>
                <w:color w:val="000000" w:themeColor="text1"/>
                <w:sz w:val="20"/>
                <w:szCs w:val="20"/>
              </w:rPr>
              <w:t>-2.0%</w:t>
            </w:r>
          </w:p>
        </w:tc>
      </w:tr>
      <w:tr w:rsidR="000C010C" w:rsidRPr="000C010C" w14:paraId="06233EE3" w14:textId="77777777" w:rsidTr="005D4764">
        <w:tc>
          <w:tcPr>
            <w:tcW w:w="4502" w:type="dxa"/>
            <w:vAlign w:val="center"/>
          </w:tcPr>
          <w:p w14:paraId="43B8ED99" w14:textId="1FB1AABF" w:rsidR="008F7D6B" w:rsidRPr="008574A8" w:rsidRDefault="00820D3F" w:rsidP="008F7D6B">
            <w:pPr>
              <w:spacing w:before="60" w:after="60"/>
              <w:rPr>
                <w:color w:val="000000" w:themeColor="text1"/>
                <w:sz w:val="20"/>
                <w:szCs w:val="20"/>
              </w:rPr>
            </w:pPr>
            <w:r w:rsidRPr="008574A8">
              <w:rPr>
                <w:color w:val="000000" w:themeColor="text1"/>
                <w:sz w:val="20"/>
                <w:szCs w:val="20"/>
              </w:rPr>
              <w:t>BlackRock Pacific Rim Equity Index</w:t>
            </w:r>
          </w:p>
        </w:tc>
        <w:tc>
          <w:tcPr>
            <w:tcW w:w="2568" w:type="dxa"/>
            <w:vAlign w:val="center"/>
          </w:tcPr>
          <w:p w14:paraId="287FD1E3" w14:textId="5EEF7C26" w:rsidR="008F7D6B" w:rsidRPr="0011613D" w:rsidRDefault="00F8632C" w:rsidP="005D4764">
            <w:pPr>
              <w:spacing w:before="60" w:after="60"/>
              <w:jc w:val="center"/>
              <w:rPr>
                <w:color w:val="FF0000"/>
                <w:sz w:val="20"/>
                <w:szCs w:val="20"/>
              </w:rPr>
            </w:pPr>
            <w:r w:rsidRPr="00F8632C">
              <w:rPr>
                <w:color w:val="000000" w:themeColor="text1"/>
                <w:sz w:val="20"/>
                <w:szCs w:val="20"/>
              </w:rPr>
              <w:t>6.8</w:t>
            </w:r>
            <w:r w:rsidR="008F7D6B" w:rsidRPr="00F8632C">
              <w:rPr>
                <w:color w:val="000000" w:themeColor="text1"/>
                <w:sz w:val="20"/>
                <w:szCs w:val="20"/>
              </w:rPr>
              <w:t>% pa</w:t>
            </w:r>
          </w:p>
        </w:tc>
        <w:tc>
          <w:tcPr>
            <w:tcW w:w="2569" w:type="dxa"/>
            <w:vAlign w:val="center"/>
          </w:tcPr>
          <w:p w14:paraId="4AA3B9FF" w14:textId="018A7197" w:rsidR="008F7D6B" w:rsidRPr="0011613D" w:rsidRDefault="00F8632C" w:rsidP="005D4764">
            <w:pPr>
              <w:spacing w:before="60" w:after="60"/>
              <w:jc w:val="center"/>
              <w:rPr>
                <w:color w:val="FF0000"/>
                <w:sz w:val="20"/>
                <w:szCs w:val="20"/>
              </w:rPr>
            </w:pPr>
            <w:r w:rsidRPr="00F8632C">
              <w:rPr>
                <w:color w:val="000000" w:themeColor="text1"/>
                <w:sz w:val="20"/>
                <w:szCs w:val="20"/>
              </w:rPr>
              <w:t>-5.8</w:t>
            </w:r>
            <w:r w:rsidR="008F7D6B" w:rsidRPr="00F8632C">
              <w:rPr>
                <w:color w:val="000000" w:themeColor="text1"/>
                <w:sz w:val="20"/>
                <w:szCs w:val="20"/>
              </w:rPr>
              <w:t>%</w:t>
            </w:r>
          </w:p>
        </w:tc>
      </w:tr>
      <w:tr w:rsidR="000C010C" w:rsidRPr="000C010C" w14:paraId="12EF570B" w14:textId="77777777" w:rsidTr="005D4764">
        <w:tc>
          <w:tcPr>
            <w:tcW w:w="4502" w:type="dxa"/>
            <w:vAlign w:val="center"/>
          </w:tcPr>
          <w:p w14:paraId="42CDEAA6" w14:textId="647A136F" w:rsidR="008F7D6B" w:rsidRPr="008574A8" w:rsidRDefault="00093FBE" w:rsidP="008F7D6B">
            <w:pPr>
              <w:spacing w:before="60" w:after="60"/>
              <w:rPr>
                <w:color w:val="000000" w:themeColor="text1"/>
                <w:sz w:val="20"/>
                <w:szCs w:val="20"/>
              </w:rPr>
            </w:pPr>
            <w:r w:rsidRPr="008574A8">
              <w:rPr>
                <w:color w:val="000000" w:themeColor="text1"/>
                <w:sz w:val="20"/>
                <w:szCs w:val="20"/>
              </w:rPr>
              <w:t>Property</w:t>
            </w:r>
          </w:p>
        </w:tc>
        <w:tc>
          <w:tcPr>
            <w:tcW w:w="2568" w:type="dxa"/>
            <w:vAlign w:val="center"/>
          </w:tcPr>
          <w:p w14:paraId="70AFAFC7" w14:textId="5ABD0301" w:rsidR="008F7D6B" w:rsidRPr="00C62F56" w:rsidRDefault="00C62F56" w:rsidP="005D4764">
            <w:pPr>
              <w:spacing w:before="60" w:after="60"/>
              <w:jc w:val="center"/>
              <w:rPr>
                <w:color w:val="000000" w:themeColor="text1"/>
                <w:sz w:val="20"/>
                <w:szCs w:val="20"/>
              </w:rPr>
            </w:pPr>
            <w:r w:rsidRPr="00C62F56">
              <w:rPr>
                <w:color w:val="000000" w:themeColor="text1"/>
                <w:sz w:val="20"/>
                <w:szCs w:val="20"/>
              </w:rPr>
              <w:t>1.0</w:t>
            </w:r>
            <w:r w:rsidR="008F7D6B" w:rsidRPr="00C62F56">
              <w:rPr>
                <w:color w:val="000000" w:themeColor="text1"/>
                <w:sz w:val="20"/>
                <w:szCs w:val="20"/>
              </w:rPr>
              <w:t>% pa</w:t>
            </w:r>
          </w:p>
        </w:tc>
        <w:tc>
          <w:tcPr>
            <w:tcW w:w="2569" w:type="dxa"/>
            <w:vAlign w:val="center"/>
          </w:tcPr>
          <w:p w14:paraId="1EF75E74" w14:textId="5C921EBA" w:rsidR="008F7D6B" w:rsidRPr="00C62F56" w:rsidRDefault="00C62F56" w:rsidP="005D4764">
            <w:pPr>
              <w:spacing w:before="60" w:after="60"/>
              <w:jc w:val="center"/>
              <w:rPr>
                <w:color w:val="000000" w:themeColor="text1"/>
                <w:sz w:val="20"/>
                <w:szCs w:val="20"/>
              </w:rPr>
            </w:pPr>
            <w:r w:rsidRPr="00C62F56">
              <w:rPr>
                <w:color w:val="000000" w:themeColor="text1"/>
                <w:sz w:val="20"/>
                <w:szCs w:val="20"/>
              </w:rPr>
              <w:t>5.1</w:t>
            </w:r>
            <w:r w:rsidR="008F7D6B" w:rsidRPr="00C62F56">
              <w:rPr>
                <w:color w:val="000000" w:themeColor="text1"/>
                <w:sz w:val="20"/>
                <w:szCs w:val="20"/>
              </w:rPr>
              <w:t>%</w:t>
            </w:r>
          </w:p>
        </w:tc>
      </w:tr>
      <w:tr w:rsidR="00B503B4" w:rsidRPr="00B503B4" w14:paraId="4B94382A" w14:textId="77777777" w:rsidTr="005D4764">
        <w:tc>
          <w:tcPr>
            <w:tcW w:w="4502" w:type="dxa"/>
            <w:vAlign w:val="center"/>
          </w:tcPr>
          <w:p w14:paraId="15BEE6F3" w14:textId="46224C56" w:rsidR="00E943A3" w:rsidRPr="00B503B4" w:rsidRDefault="00E943A3" w:rsidP="008F7D6B">
            <w:pPr>
              <w:spacing w:before="60" w:after="60"/>
              <w:rPr>
                <w:color w:val="000000" w:themeColor="text1"/>
                <w:sz w:val="20"/>
                <w:szCs w:val="20"/>
              </w:rPr>
            </w:pPr>
            <w:r w:rsidRPr="00B503B4">
              <w:rPr>
                <w:color w:val="000000" w:themeColor="text1"/>
                <w:sz w:val="20"/>
                <w:szCs w:val="20"/>
              </w:rPr>
              <w:t>With-Profits (NU)</w:t>
            </w:r>
          </w:p>
        </w:tc>
        <w:tc>
          <w:tcPr>
            <w:tcW w:w="2568" w:type="dxa"/>
            <w:vAlign w:val="center"/>
          </w:tcPr>
          <w:p w14:paraId="57AEB425" w14:textId="0F8D0534" w:rsidR="00E943A3" w:rsidRPr="00B503B4" w:rsidRDefault="009D2852" w:rsidP="005D4764">
            <w:pPr>
              <w:spacing w:before="60" w:after="60"/>
              <w:jc w:val="center"/>
              <w:rPr>
                <w:color w:val="000000" w:themeColor="text1"/>
                <w:sz w:val="20"/>
                <w:szCs w:val="20"/>
              </w:rPr>
            </w:pPr>
            <w:r w:rsidRPr="00B503B4">
              <w:rPr>
                <w:color w:val="000000" w:themeColor="text1"/>
                <w:sz w:val="20"/>
                <w:szCs w:val="20"/>
              </w:rPr>
              <w:t>3.9%</w:t>
            </w:r>
            <w:r w:rsidR="009A6751" w:rsidRPr="00B503B4">
              <w:rPr>
                <w:color w:val="000000" w:themeColor="text1"/>
                <w:sz w:val="20"/>
                <w:szCs w:val="20"/>
              </w:rPr>
              <w:t xml:space="preserve"> pa</w:t>
            </w:r>
          </w:p>
        </w:tc>
        <w:tc>
          <w:tcPr>
            <w:tcW w:w="2569" w:type="dxa"/>
            <w:vAlign w:val="center"/>
          </w:tcPr>
          <w:p w14:paraId="6441CE4C" w14:textId="703821B2" w:rsidR="00E943A3" w:rsidRPr="00B503B4" w:rsidRDefault="009D2852" w:rsidP="005D4764">
            <w:pPr>
              <w:spacing w:before="60" w:after="60"/>
              <w:jc w:val="center"/>
              <w:rPr>
                <w:color w:val="000000" w:themeColor="text1"/>
                <w:sz w:val="20"/>
                <w:szCs w:val="20"/>
              </w:rPr>
            </w:pPr>
            <w:r w:rsidRPr="00B503B4">
              <w:rPr>
                <w:color w:val="000000" w:themeColor="text1"/>
                <w:sz w:val="20"/>
                <w:szCs w:val="20"/>
              </w:rPr>
              <w:t>14.7%</w:t>
            </w:r>
          </w:p>
        </w:tc>
      </w:tr>
      <w:tr w:rsidR="00E943A3" w:rsidRPr="000C010C" w14:paraId="0F973F2A" w14:textId="77777777" w:rsidTr="005D4764">
        <w:tc>
          <w:tcPr>
            <w:tcW w:w="4502" w:type="dxa"/>
            <w:vAlign w:val="center"/>
          </w:tcPr>
          <w:p w14:paraId="07C7AF65" w14:textId="579280C1" w:rsidR="00E943A3" w:rsidRPr="008574A8" w:rsidRDefault="00E943A3" w:rsidP="008F7D6B">
            <w:pPr>
              <w:spacing w:before="60" w:after="60"/>
              <w:rPr>
                <w:color w:val="000000" w:themeColor="text1"/>
                <w:sz w:val="20"/>
                <w:szCs w:val="20"/>
              </w:rPr>
            </w:pPr>
            <w:r w:rsidRPr="009C04D4">
              <w:rPr>
                <w:color w:val="000000" w:themeColor="text1"/>
                <w:sz w:val="20"/>
                <w:szCs w:val="20"/>
              </w:rPr>
              <w:t>Deposit Fund</w:t>
            </w:r>
          </w:p>
        </w:tc>
        <w:tc>
          <w:tcPr>
            <w:tcW w:w="2568" w:type="dxa"/>
            <w:vAlign w:val="center"/>
          </w:tcPr>
          <w:p w14:paraId="12A07AA1" w14:textId="7D217024" w:rsidR="00E943A3" w:rsidRPr="009D2852" w:rsidRDefault="009D2852" w:rsidP="005D4764">
            <w:pPr>
              <w:spacing w:before="60" w:after="60"/>
              <w:jc w:val="center"/>
              <w:rPr>
                <w:color w:val="000000" w:themeColor="text1"/>
                <w:sz w:val="20"/>
                <w:szCs w:val="20"/>
              </w:rPr>
            </w:pPr>
            <w:r w:rsidRPr="009D2852">
              <w:rPr>
                <w:color w:val="000000" w:themeColor="text1"/>
                <w:sz w:val="20"/>
                <w:szCs w:val="20"/>
              </w:rPr>
              <w:t>2.3%</w:t>
            </w:r>
            <w:r w:rsidR="009A6751">
              <w:rPr>
                <w:color w:val="000000" w:themeColor="text1"/>
                <w:sz w:val="20"/>
                <w:szCs w:val="20"/>
              </w:rPr>
              <w:t xml:space="preserve"> pa</w:t>
            </w:r>
          </w:p>
        </w:tc>
        <w:tc>
          <w:tcPr>
            <w:tcW w:w="2569" w:type="dxa"/>
            <w:vAlign w:val="center"/>
          </w:tcPr>
          <w:p w14:paraId="318D2A29" w14:textId="392139D9" w:rsidR="00E943A3" w:rsidRPr="009D2852" w:rsidRDefault="009D2852" w:rsidP="005D4764">
            <w:pPr>
              <w:spacing w:before="60" w:after="60"/>
              <w:jc w:val="center"/>
              <w:rPr>
                <w:color w:val="000000" w:themeColor="text1"/>
                <w:sz w:val="20"/>
                <w:szCs w:val="20"/>
              </w:rPr>
            </w:pPr>
            <w:r w:rsidRPr="009D2852">
              <w:rPr>
                <w:color w:val="000000" w:themeColor="text1"/>
                <w:sz w:val="20"/>
                <w:szCs w:val="20"/>
              </w:rPr>
              <w:t>5.1%</w:t>
            </w:r>
          </w:p>
        </w:tc>
      </w:tr>
    </w:tbl>
    <w:p w14:paraId="4CAB97A6" w14:textId="22708A39" w:rsidR="004E6591" w:rsidRPr="004628E3" w:rsidRDefault="00AE5B8D" w:rsidP="00D7039D">
      <w:pPr>
        <w:ind w:left="0" w:firstLine="0"/>
        <w:jc w:val="both"/>
        <w:rPr>
          <w:b/>
          <w:i/>
          <w:iCs/>
          <w:color w:val="000000" w:themeColor="text1"/>
          <w:sz w:val="20"/>
          <w:szCs w:val="20"/>
        </w:rPr>
      </w:pPr>
      <w:r w:rsidRPr="004628E3">
        <w:rPr>
          <w:b/>
          <w:i/>
          <w:iCs/>
          <w:color w:val="000000" w:themeColor="text1"/>
          <w:sz w:val="20"/>
          <w:szCs w:val="20"/>
        </w:rPr>
        <w:t>Prudential Transfer Accounts</w:t>
      </w:r>
    </w:p>
    <w:p w14:paraId="760959B9" w14:textId="0F664E2D" w:rsidR="00AE5B8D" w:rsidRPr="004628E3" w:rsidRDefault="00AE5B8D" w:rsidP="00A6667B">
      <w:pPr>
        <w:spacing w:after="240"/>
        <w:ind w:left="0" w:firstLine="0"/>
        <w:jc w:val="both"/>
        <w:rPr>
          <w:bCs/>
          <w:i/>
          <w:iCs/>
          <w:color w:val="000000" w:themeColor="text1"/>
          <w:sz w:val="20"/>
          <w:szCs w:val="20"/>
        </w:rPr>
      </w:pPr>
      <w:r w:rsidRPr="004628E3">
        <w:rPr>
          <w:bCs/>
          <w:i/>
          <w:iCs/>
          <w:color w:val="000000" w:themeColor="text1"/>
          <w:sz w:val="20"/>
          <w:szCs w:val="20"/>
        </w:rPr>
        <w:t xml:space="preserve">Policy </w:t>
      </w:r>
      <w:r w:rsidR="000910BE" w:rsidRPr="004628E3">
        <w:rPr>
          <w:bCs/>
          <w:i/>
          <w:iCs/>
          <w:color w:val="000000" w:themeColor="text1"/>
          <w:sz w:val="20"/>
          <w:szCs w:val="20"/>
        </w:rPr>
        <w:t>TTP0062</w:t>
      </w:r>
    </w:p>
    <w:tbl>
      <w:tblPr>
        <w:tblW w:w="9639"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4A0" w:firstRow="1" w:lastRow="0" w:firstColumn="1" w:lastColumn="0" w:noHBand="0" w:noVBand="1"/>
      </w:tblPr>
      <w:tblGrid>
        <w:gridCol w:w="4502"/>
        <w:gridCol w:w="2568"/>
        <w:gridCol w:w="2569"/>
      </w:tblGrid>
      <w:tr w:rsidR="000C010C" w:rsidRPr="000C010C" w14:paraId="74AEF9EE" w14:textId="77777777" w:rsidTr="005D4764">
        <w:trPr>
          <w:trHeight w:val="830"/>
        </w:trPr>
        <w:tc>
          <w:tcPr>
            <w:tcW w:w="4502" w:type="dxa"/>
            <w:shd w:val="clear" w:color="auto" w:fill="BFBFBF" w:themeFill="background1" w:themeFillShade="BF"/>
            <w:vAlign w:val="center"/>
          </w:tcPr>
          <w:p w14:paraId="3F25D183" w14:textId="77777777" w:rsidR="009C4EA2" w:rsidRPr="004628E3" w:rsidRDefault="009C4EA2" w:rsidP="005D4764">
            <w:pPr>
              <w:spacing w:before="60" w:after="60"/>
              <w:rPr>
                <w:b/>
                <w:color w:val="000000" w:themeColor="text1"/>
                <w:sz w:val="20"/>
                <w:szCs w:val="20"/>
              </w:rPr>
            </w:pPr>
            <w:r w:rsidRPr="004628E3">
              <w:rPr>
                <w:b/>
                <w:color w:val="000000" w:themeColor="text1"/>
                <w:sz w:val="20"/>
                <w:szCs w:val="20"/>
              </w:rPr>
              <w:t>Fund name</w:t>
            </w:r>
          </w:p>
        </w:tc>
        <w:tc>
          <w:tcPr>
            <w:tcW w:w="2568" w:type="dxa"/>
            <w:shd w:val="clear" w:color="auto" w:fill="BFBFBF" w:themeFill="background1" w:themeFillShade="BF"/>
            <w:vAlign w:val="center"/>
          </w:tcPr>
          <w:p w14:paraId="28E35865" w14:textId="77777777" w:rsidR="009C4EA2" w:rsidRPr="004628E3" w:rsidRDefault="009C4EA2" w:rsidP="005D4764">
            <w:pPr>
              <w:spacing w:before="0" w:after="0"/>
              <w:jc w:val="center"/>
              <w:rPr>
                <w:b/>
                <w:bCs/>
                <w:color w:val="000000" w:themeColor="text1"/>
                <w:sz w:val="20"/>
                <w:szCs w:val="20"/>
              </w:rPr>
            </w:pPr>
            <w:r w:rsidRPr="004628E3">
              <w:rPr>
                <w:b/>
                <w:bCs/>
                <w:color w:val="000000" w:themeColor="text1"/>
                <w:sz w:val="20"/>
                <w:szCs w:val="20"/>
              </w:rPr>
              <w:t>Net investment return</w:t>
            </w:r>
          </w:p>
          <w:p w14:paraId="34C2F14F" w14:textId="77777777" w:rsidR="009C4EA2" w:rsidRPr="004628E3" w:rsidRDefault="009C4EA2" w:rsidP="005D4764">
            <w:pPr>
              <w:spacing w:before="0" w:after="0"/>
              <w:jc w:val="center"/>
              <w:rPr>
                <w:b/>
                <w:bCs/>
                <w:color w:val="000000" w:themeColor="text1"/>
                <w:sz w:val="20"/>
                <w:szCs w:val="20"/>
              </w:rPr>
            </w:pPr>
            <w:r w:rsidRPr="004628E3">
              <w:rPr>
                <w:b/>
                <w:bCs/>
                <w:color w:val="000000" w:themeColor="text1"/>
                <w:sz w:val="20"/>
                <w:szCs w:val="20"/>
              </w:rPr>
              <w:t>5 years to</w:t>
            </w:r>
          </w:p>
          <w:p w14:paraId="35B03CA4" w14:textId="3AF2BF84" w:rsidR="009C4EA2" w:rsidRPr="004628E3" w:rsidRDefault="009C4EA2" w:rsidP="005D4764">
            <w:pPr>
              <w:spacing w:before="0" w:after="0"/>
              <w:jc w:val="center"/>
              <w:rPr>
                <w:b/>
                <w:bCs/>
                <w:color w:val="000000" w:themeColor="text1"/>
                <w:sz w:val="20"/>
                <w:szCs w:val="20"/>
              </w:rPr>
            </w:pPr>
            <w:r w:rsidRPr="004628E3">
              <w:rPr>
                <w:b/>
                <w:bCs/>
                <w:color w:val="000000" w:themeColor="text1"/>
                <w:sz w:val="20"/>
                <w:szCs w:val="20"/>
              </w:rPr>
              <w:t>31 March 202</w:t>
            </w:r>
            <w:r w:rsidR="0011613D">
              <w:rPr>
                <w:b/>
                <w:bCs/>
                <w:color w:val="000000" w:themeColor="text1"/>
                <w:sz w:val="20"/>
                <w:szCs w:val="20"/>
              </w:rPr>
              <w:t>5</w:t>
            </w:r>
          </w:p>
        </w:tc>
        <w:tc>
          <w:tcPr>
            <w:tcW w:w="2569" w:type="dxa"/>
            <w:shd w:val="clear" w:color="auto" w:fill="BFBFBF" w:themeFill="background1" w:themeFillShade="BF"/>
            <w:vAlign w:val="center"/>
          </w:tcPr>
          <w:p w14:paraId="45132A5B" w14:textId="77777777" w:rsidR="009C4EA2" w:rsidRPr="004628E3" w:rsidRDefault="009C4EA2" w:rsidP="005D4764">
            <w:pPr>
              <w:spacing w:before="0" w:after="0"/>
              <w:jc w:val="center"/>
              <w:rPr>
                <w:b/>
                <w:bCs/>
                <w:color w:val="000000" w:themeColor="text1"/>
                <w:sz w:val="20"/>
                <w:szCs w:val="20"/>
              </w:rPr>
            </w:pPr>
            <w:r w:rsidRPr="004628E3">
              <w:rPr>
                <w:b/>
                <w:bCs/>
                <w:color w:val="000000" w:themeColor="text1"/>
                <w:sz w:val="20"/>
                <w:szCs w:val="20"/>
              </w:rPr>
              <w:t>Net investment return</w:t>
            </w:r>
          </w:p>
          <w:p w14:paraId="0B4CC98A" w14:textId="77777777" w:rsidR="009C4EA2" w:rsidRPr="004628E3" w:rsidRDefault="009C4EA2" w:rsidP="005D4764">
            <w:pPr>
              <w:spacing w:before="0" w:after="0"/>
              <w:jc w:val="center"/>
              <w:rPr>
                <w:b/>
                <w:bCs/>
                <w:color w:val="000000" w:themeColor="text1"/>
                <w:sz w:val="20"/>
                <w:szCs w:val="20"/>
              </w:rPr>
            </w:pPr>
            <w:r w:rsidRPr="004628E3">
              <w:rPr>
                <w:b/>
                <w:bCs/>
                <w:color w:val="000000" w:themeColor="text1"/>
                <w:sz w:val="20"/>
                <w:szCs w:val="20"/>
              </w:rPr>
              <w:t>1 year to</w:t>
            </w:r>
          </w:p>
          <w:p w14:paraId="1BDC7CDD" w14:textId="4DB7BABB" w:rsidR="009C4EA2" w:rsidRPr="004628E3" w:rsidRDefault="009C4EA2" w:rsidP="005D4764">
            <w:pPr>
              <w:spacing w:before="0" w:after="0"/>
              <w:jc w:val="center"/>
              <w:rPr>
                <w:b/>
                <w:color w:val="000000" w:themeColor="text1"/>
                <w:sz w:val="20"/>
                <w:szCs w:val="20"/>
              </w:rPr>
            </w:pPr>
            <w:r w:rsidRPr="004628E3">
              <w:rPr>
                <w:b/>
                <w:bCs/>
                <w:color w:val="000000" w:themeColor="text1"/>
                <w:sz w:val="20"/>
                <w:szCs w:val="20"/>
              </w:rPr>
              <w:t>31 March 202</w:t>
            </w:r>
            <w:r w:rsidR="0011613D">
              <w:rPr>
                <w:b/>
                <w:bCs/>
                <w:color w:val="000000" w:themeColor="text1"/>
                <w:sz w:val="20"/>
                <w:szCs w:val="20"/>
              </w:rPr>
              <w:t>5</w:t>
            </w:r>
          </w:p>
        </w:tc>
      </w:tr>
      <w:tr w:rsidR="000C010C" w:rsidRPr="000C010C" w14:paraId="38FCD64B" w14:textId="77777777" w:rsidTr="005D4764">
        <w:tc>
          <w:tcPr>
            <w:tcW w:w="4502" w:type="dxa"/>
            <w:vAlign w:val="center"/>
          </w:tcPr>
          <w:p w14:paraId="77B722E2" w14:textId="77777777" w:rsidR="009C4EA2" w:rsidRPr="004628E3" w:rsidRDefault="009C4EA2" w:rsidP="005D4764">
            <w:pPr>
              <w:spacing w:before="60" w:after="60"/>
              <w:rPr>
                <w:color w:val="000000" w:themeColor="text1"/>
                <w:sz w:val="20"/>
                <w:szCs w:val="20"/>
              </w:rPr>
            </w:pPr>
            <w:r w:rsidRPr="004628E3">
              <w:rPr>
                <w:color w:val="000000" w:themeColor="text1"/>
                <w:sz w:val="20"/>
                <w:szCs w:val="20"/>
              </w:rPr>
              <w:t>With-Profits</w:t>
            </w:r>
          </w:p>
        </w:tc>
        <w:tc>
          <w:tcPr>
            <w:tcW w:w="2568" w:type="dxa"/>
            <w:vAlign w:val="center"/>
          </w:tcPr>
          <w:p w14:paraId="47C22905" w14:textId="758CD27D" w:rsidR="009C4EA2" w:rsidRPr="00324328" w:rsidRDefault="00324328" w:rsidP="005D4764">
            <w:pPr>
              <w:spacing w:before="60" w:after="60"/>
              <w:jc w:val="center"/>
              <w:rPr>
                <w:color w:val="000000" w:themeColor="text1"/>
                <w:sz w:val="20"/>
                <w:szCs w:val="20"/>
              </w:rPr>
            </w:pPr>
            <w:r w:rsidRPr="00324328">
              <w:rPr>
                <w:color w:val="000000" w:themeColor="text1"/>
                <w:sz w:val="20"/>
                <w:szCs w:val="20"/>
              </w:rPr>
              <w:t>1.9</w:t>
            </w:r>
            <w:r w:rsidR="009C4EA2" w:rsidRPr="00324328">
              <w:rPr>
                <w:color w:val="000000" w:themeColor="text1"/>
                <w:sz w:val="20"/>
                <w:szCs w:val="20"/>
              </w:rPr>
              <w:t>% pa</w:t>
            </w:r>
          </w:p>
        </w:tc>
        <w:tc>
          <w:tcPr>
            <w:tcW w:w="2569" w:type="dxa"/>
            <w:vAlign w:val="center"/>
          </w:tcPr>
          <w:p w14:paraId="7EAC7476" w14:textId="7DC463B7" w:rsidR="009C4EA2" w:rsidRPr="00324328" w:rsidRDefault="00324328" w:rsidP="005D4764">
            <w:pPr>
              <w:spacing w:before="60" w:after="60"/>
              <w:jc w:val="center"/>
              <w:rPr>
                <w:color w:val="000000" w:themeColor="text1"/>
                <w:sz w:val="20"/>
                <w:szCs w:val="20"/>
              </w:rPr>
            </w:pPr>
            <w:r w:rsidRPr="00324328">
              <w:rPr>
                <w:color w:val="000000" w:themeColor="text1"/>
                <w:sz w:val="20"/>
                <w:szCs w:val="20"/>
              </w:rPr>
              <w:t>3</w:t>
            </w:r>
            <w:r w:rsidR="004628E3" w:rsidRPr="00324328">
              <w:rPr>
                <w:color w:val="000000" w:themeColor="text1"/>
                <w:sz w:val="20"/>
                <w:szCs w:val="20"/>
              </w:rPr>
              <w:t>.0</w:t>
            </w:r>
            <w:r w:rsidR="009C4EA2" w:rsidRPr="00324328">
              <w:rPr>
                <w:color w:val="000000" w:themeColor="text1"/>
                <w:sz w:val="20"/>
                <w:szCs w:val="20"/>
              </w:rPr>
              <w:t>%</w:t>
            </w:r>
          </w:p>
        </w:tc>
      </w:tr>
    </w:tbl>
    <w:p w14:paraId="214A5AF3" w14:textId="17996754" w:rsidR="000910BE" w:rsidRPr="00836444" w:rsidRDefault="009C4EA2" w:rsidP="00ED616E">
      <w:pPr>
        <w:spacing w:before="240"/>
        <w:ind w:left="0" w:firstLine="0"/>
        <w:jc w:val="both"/>
        <w:rPr>
          <w:bCs/>
          <w:i/>
          <w:iCs/>
          <w:sz w:val="20"/>
          <w:szCs w:val="20"/>
        </w:rPr>
      </w:pPr>
      <w:r w:rsidRPr="00836444">
        <w:rPr>
          <w:bCs/>
          <w:i/>
          <w:iCs/>
          <w:sz w:val="20"/>
          <w:szCs w:val="20"/>
        </w:rPr>
        <w:t xml:space="preserve">Policy </w:t>
      </w:r>
      <w:r w:rsidR="00243F79" w:rsidRPr="00836444">
        <w:rPr>
          <w:bCs/>
          <w:i/>
          <w:iCs/>
          <w:sz w:val="20"/>
          <w:szCs w:val="20"/>
        </w:rPr>
        <w:t>M0</w:t>
      </w:r>
      <w:r w:rsidR="00D1618B">
        <w:rPr>
          <w:bCs/>
          <w:i/>
          <w:iCs/>
          <w:sz w:val="20"/>
          <w:szCs w:val="20"/>
        </w:rPr>
        <w:t>2</w:t>
      </w:r>
      <w:r w:rsidR="00243F79" w:rsidRPr="00836444">
        <w:rPr>
          <w:bCs/>
          <w:i/>
          <w:iCs/>
          <w:sz w:val="20"/>
          <w:szCs w:val="20"/>
        </w:rPr>
        <w:t>8</w:t>
      </w:r>
    </w:p>
    <w:p w14:paraId="39938796" w14:textId="5A8354F7" w:rsidR="009C4EA2" w:rsidRPr="007B6A28" w:rsidRDefault="00117676" w:rsidP="00ED616E">
      <w:pPr>
        <w:spacing w:after="240"/>
        <w:ind w:left="0" w:firstLine="0"/>
        <w:jc w:val="both"/>
        <w:rPr>
          <w:sz w:val="20"/>
          <w:szCs w:val="20"/>
        </w:rPr>
      </w:pPr>
      <w:r w:rsidRPr="007B6A28">
        <w:rPr>
          <w:sz w:val="20"/>
          <w:szCs w:val="20"/>
        </w:rPr>
        <w:t xml:space="preserve">All members are invested in the lifestyle strategy.  </w:t>
      </w:r>
      <w:r w:rsidR="003F4F7C" w:rsidRPr="007B6A28">
        <w:rPr>
          <w:sz w:val="20"/>
          <w:szCs w:val="20"/>
        </w:rPr>
        <w:t>For the</w:t>
      </w:r>
      <w:r w:rsidRPr="007B6A28">
        <w:rPr>
          <w:sz w:val="20"/>
          <w:szCs w:val="20"/>
        </w:rPr>
        <w:t xml:space="preserve"> lifestyle strategy</w:t>
      </w:r>
      <w:r w:rsidR="003F4F7C" w:rsidRPr="007B6A28">
        <w:rPr>
          <w:sz w:val="20"/>
          <w:szCs w:val="20"/>
        </w:rPr>
        <w:t>, because the net investment returns are different for members of different ages, the table below show</w:t>
      </w:r>
      <w:r w:rsidRPr="007B6A28">
        <w:rPr>
          <w:sz w:val="20"/>
          <w:szCs w:val="20"/>
        </w:rPr>
        <w:t>s</w:t>
      </w:r>
      <w:r w:rsidR="003F4F7C" w:rsidRPr="007B6A28">
        <w:rPr>
          <w:sz w:val="20"/>
          <w:szCs w:val="20"/>
        </w:rPr>
        <w:t xml:space="preserve"> the annual net investment returns for members aged 25, 45 and 55 at the start of the five year</w:t>
      </w:r>
      <w:r w:rsidR="000B6473" w:rsidRPr="007B6A28">
        <w:rPr>
          <w:sz w:val="20"/>
          <w:szCs w:val="20"/>
        </w:rPr>
        <w:t xml:space="preserve"> period</w:t>
      </w:r>
      <w:r w:rsidR="003F4F7C" w:rsidRPr="007B6A28">
        <w:rPr>
          <w:sz w:val="20"/>
          <w:szCs w:val="20"/>
        </w:rPr>
        <w:t>.</w:t>
      </w:r>
    </w:p>
    <w:tbl>
      <w:tblPr>
        <w:tblStyle w:val="TableGrid"/>
        <w:tblW w:w="9776" w:type="dxa"/>
        <w:tblLook w:val="04A0" w:firstRow="1" w:lastRow="0" w:firstColumn="1" w:lastColumn="0" w:noHBand="0" w:noVBand="1"/>
      </w:tblPr>
      <w:tblGrid>
        <w:gridCol w:w="1962"/>
        <w:gridCol w:w="3907"/>
        <w:gridCol w:w="3907"/>
      </w:tblGrid>
      <w:tr w:rsidR="006C4815" w14:paraId="5278E7A7" w14:textId="77777777" w:rsidTr="00ED616E">
        <w:tc>
          <w:tcPr>
            <w:tcW w:w="1962" w:type="dxa"/>
            <w:shd w:val="clear" w:color="auto" w:fill="BFBFBF" w:themeFill="background1" w:themeFillShade="BF"/>
          </w:tcPr>
          <w:p w14:paraId="79A904F6" w14:textId="77777777" w:rsidR="006C4815" w:rsidRPr="001351C8" w:rsidRDefault="006C4815" w:rsidP="005D4764">
            <w:pPr>
              <w:jc w:val="center"/>
              <w:rPr>
                <w:b/>
                <w:bCs/>
                <w:sz w:val="20"/>
                <w:szCs w:val="20"/>
              </w:rPr>
            </w:pPr>
            <w:r w:rsidRPr="001351C8">
              <w:rPr>
                <w:b/>
                <w:bCs/>
                <w:sz w:val="20"/>
                <w:szCs w:val="20"/>
              </w:rPr>
              <w:t>Age of member</w:t>
            </w:r>
          </w:p>
        </w:tc>
        <w:tc>
          <w:tcPr>
            <w:tcW w:w="3907" w:type="dxa"/>
            <w:shd w:val="clear" w:color="auto" w:fill="BFBFBF" w:themeFill="background1" w:themeFillShade="BF"/>
          </w:tcPr>
          <w:p w14:paraId="31274E46" w14:textId="77777777" w:rsidR="007B6A28" w:rsidRPr="000C010C" w:rsidRDefault="006C4815" w:rsidP="007B6A28">
            <w:pPr>
              <w:spacing w:before="0" w:after="0"/>
              <w:ind w:right="-1"/>
              <w:jc w:val="center"/>
              <w:rPr>
                <w:b/>
                <w:bCs/>
                <w:sz w:val="20"/>
                <w:szCs w:val="20"/>
              </w:rPr>
            </w:pPr>
            <w:r w:rsidRPr="000C010C">
              <w:rPr>
                <w:b/>
                <w:bCs/>
                <w:sz w:val="20"/>
                <w:szCs w:val="20"/>
              </w:rPr>
              <w:t>Net investment return</w:t>
            </w:r>
          </w:p>
          <w:p w14:paraId="643045BB" w14:textId="78185CF6" w:rsidR="006C4815" w:rsidRPr="000C010C" w:rsidRDefault="006C4815" w:rsidP="007B6A28">
            <w:pPr>
              <w:spacing w:before="0" w:after="0"/>
              <w:ind w:right="-1"/>
              <w:jc w:val="center"/>
              <w:rPr>
                <w:b/>
                <w:bCs/>
                <w:sz w:val="20"/>
                <w:szCs w:val="20"/>
              </w:rPr>
            </w:pPr>
            <w:r w:rsidRPr="000C010C">
              <w:rPr>
                <w:b/>
                <w:bCs/>
                <w:sz w:val="20"/>
                <w:szCs w:val="20"/>
              </w:rPr>
              <w:t xml:space="preserve">5 years to 31 </w:t>
            </w:r>
            <w:r w:rsidR="007B6A28" w:rsidRPr="000C010C">
              <w:rPr>
                <w:b/>
                <w:bCs/>
                <w:sz w:val="20"/>
                <w:szCs w:val="20"/>
              </w:rPr>
              <w:t>March</w:t>
            </w:r>
            <w:r w:rsidRPr="000C010C">
              <w:rPr>
                <w:b/>
                <w:bCs/>
                <w:sz w:val="20"/>
                <w:szCs w:val="20"/>
              </w:rPr>
              <w:t xml:space="preserve"> 202</w:t>
            </w:r>
            <w:r w:rsidR="0011613D">
              <w:rPr>
                <w:b/>
                <w:bCs/>
                <w:sz w:val="20"/>
                <w:szCs w:val="20"/>
              </w:rPr>
              <w:t>5</w:t>
            </w:r>
          </w:p>
        </w:tc>
        <w:tc>
          <w:tcPr>
            <w:tcW w:w="3907" w:type="dxa"/>
            <w:shd w:val="clear" w:color="auto" w:fill="BFBFBF" w:themeFill="background1" w:themeFillShade="BF"/>
          </w:tcPr>
          <w:p w14:paraId="696636DD" w14:textId="77777777" w:rsidR="007B6A28" w:rsidRPr="001D2941" w:rsidRDefault="006C4815" w:rsidP="007B6A28">
            <w:pPr>
              <w:spacing w:before="0" w:after="0"/>
              <w:ind w:right="-1"/>
              <w:jc w:val="center"/>
              <w:rPr>
                <w:b/>
                <w:bCs/>
                <w:color w:val="000000" w:themeColor="text1"/>
                <w:sz w:val="20"/>
                <w:szCs w:val="20"/>
              </w:rPr>
            </w:pPr>
            <w:r w:rsidRPr="001D2941">
              <w:rPr>
                <w:b/>
                <w:bCs/>
                <w:color w:val="000000" w:themeColor="text1"/>
                <w:sz w:val="20"/>
                <w:szCs w:val="20"/>
              </w:rPr>
              <w:t>Net investment return</w:t>
            </w:r>
          </w:p>
          <w:p w14:paraId="2AEFF439" w14:textId="4F7EA7C0" w:rsidR="006C4815" w:rsidRPr="001D2941" w:rsidRDefault="006C4815" w:rsidP="007B6A28">
            <w:pPr>
              <w:spacing w:before="0" w:after="0"/>
              <w:ind w:right="-1"/>
              <w:jc w:val="center"/>
              <w:rPr>
                <w:b/>
                <w:bCs/>
                <w:color w:val="000000" w:themeColor="text1"/>
                <w:sz w:val="20"/>
                <w:szCs w:val="20"/>
              </w:rPr>
            </w:pPr>
            <w:r w:rsidRPr="001D2941">
              <w:rPr>
                <w:b/>
                <w:bCs/>
                <w:color w:val="000000" w:themeColor="text1"/>
                <w:sz w:val="20"/>
                <w:szCs w:val="20"/>
              </w:rPr>
              <w:t xml:space="preserve">1 year to 31 </w:t>
            </w:r>
            <w:r w:rsidR="007B6A28" w:rsidRPr="001D2941">
              <w:rPr>
                <w:b/>
                <w:bCs/>
                <w:color w:val="000000" w:themeColor="text1"/>
                <w:sz w:val="20"/>
                <w:szCs w:val="20"/>
              </w:rPr>
              <w:t>March</w:t>
            </w:r>
            <w:r w:rsidRPr="001D2941">
              <w:rPr>
                <w:b/>
                <w:bCs/>
                <w:color w:val="000000" w:themeColor="text1"/>
                <w:sz w:val="20"/>
                <w:szCs w:val="20"/>
              </w:rPr>
              <w:t xml:space="preserve"> 202</w:t>
            </w:r>
            <w:r w:rsidR="0011613D">
              <w:rPr>
                <w:b/>
                <w:bCs/>
                <w:color w:val="000000" w:themeColor="text1"/>
                <w:sz w:val="20"/>
                <w:szCs w:val="20"/>
              </w:rPr>
              <w:t>5</w:t>
            </w:r>
          </w:p>
        </w:tc>
      </w:tr>
      <w:tr w:rsidR="006C4815" w14:paraId="41434A15" w14:textId="77777777" w:rsidTr="00ED616E">
        <w:tc>
          <w:tcPr>
            <w:tcW w:w="1962" w:type="dxa"/>
          </w:tcPr>
          <w:p w14:paraId="035BCD4F" w14:textId="77777777" w:rsidR="006C4815" w:rsidRPr="001351C8" w:rsidRDefault="006C4815" w:rsidP="005D4764">
            <w:pPr>
              <w:ind w:right="-1"/>
              <w:jc w:val="center"/>
              <w:rPr>
                <w:sz w:val="20"/>
                <w:szCs w:val="20"/>
              </w:rPr>
            </w:pPr>
            <w:r w:rsidRPr="001351C8">
              <w:rPr>
                <w:sz w:val="20"/>
                <w:szCs w:val="20"/>
              </w:rPr>
              <w:t>25</w:t>
            </w:r>
          </w:p>
        </w:tc>
        <w:tc>
          <w:tcPr>
            <w:tcW w:w="3907" w:type="dxa"/>
          </w:tcPr>
          <w:p w14:paraId="73E008CB" w14:textId="53DD31EA" w:rsidR="006C4815" w:rsidRPr="004D2E8D" w:rsidRDefault="004D2E8D" w:rsidP="005D4764">
            <w:pPr>
              <w:ind w:right="-1"/>
              <w:jc w:val="center"/>
              <w:rPr>
                <w:color w:val="000000" w:themeColor="text1"/>
                <w:sz w:val="20"/>
                <w:szCs w:val="20"/>
              </w:rPr>
            </w:pPr>
            <w:r w:rsidRPr="004D2E8D">
              <w:rPr>
                <w:color w:val="000000" w:themeColor="text1"/>
                <w:sz w:val="20"/>
                <w:szCs w:val="20"/>
              </w:rPr>
              <w:t>10.8</w:t>
            </w:r>
            <w:r w:rsidR="00B25B55">
              <w:rPr>
                <w:color w:val="000000" w:themeColor="text1"/>
                <w:sz w:val="20"/>
                <w:szCs w:val="20"/>
              </w:rPr>
              <w:t>% pa</w:t>
            </w:r>
          </w:p>
        </w:tc>
        <w:tc>
          <w:tcPr>
            <w:tcW w:w="3907" w:type="dxa"/>
          </w:tcPr>
          <w:p w14:paraId="74BE3D51" w14:textId="5649366E" w:rsidR="006C4815" w:rsidRPr="004D2E8D" w:rsidRDefault="004D2E8D" w:rsidP="005D4764">
            <w:pPr>
              <w:ind w:right="-1"/>
              <w:jc w:val="center"/>
              <w:rPr>
                <w:color w:val="000000" w:themeColor="text1"/>
                <w:sz w:val="20"/>
                <w:szCs w:val="20"/>
              </w:rPr>
            </w:pPr>
            <w:r w:rsidRPr="004D2E8D">
              <w:rPr>
                <w:color w:val="000000" w:themeColor="text1"/>
                <w:sz w:val="20"/>
                <w:szCs w:val="20"/>
              </w:rPr>
              <w:t>4.0</w:t>
            </w:r>
          </w:p>
        </w:tc>
      </w:tr>
      <w:tr w:rsidR="006C4815" w14:paraId="1AAA5AE0" w14:textId="77777777" w:rsidTr="00ED616E">
        <w:tc>
          <w:tcPr>
            <w:tcW w:w="1962" w:type="dxa"/>
          </w:tcPr>
          <w:p w14:paraId="4D7DD2A2" w14:textId="77777777" w:rsidR="006C4815" w:rsidRPr="001351C8" w:rsidRDefault="006C4815" w:rsidP="005D4764">
            <w:pPr>
              <w:ind w:right="-1"/>
              <w:jc w:val="center"/>
              <w:rPr>
                <w:sz w:val="20"/>
                <w:szCs w:val="20"/>
              </w:rPr>
            </w:pPr>
            <w:r w:rsidRPr="001351C8">
              <w:rPr>
                <w:sz w:val="20"/>
                <w:szCs w:val="20"/>
              </w:rPr>
              <w:t>45</w:t>
            </w:r>
          </w:p>
        </w:tc>
        <w:tc>
          <w:tcPr>
            <w:tcW w:w="3907" w:type="dxa"/>
          </w:tcPr>
          <w:p w14:paraId="6F0663DF" w14:textId="04EF30BE" w:rsidR="006C4815" w:rsidRPr="00B25B55" w:rsidRDefault="004D2E8D" w:rsidP="003A347C">
            <w:pPr>
              <w:ind w:right="-1"/>
              <w:jc w:val="center"/>
              <w:rPr>
                <w:color w:val="000000" w:themeColor="text1"/>
                <w:sz w:val="20"/>
                <w:szCs w:val="20"/>
              </w:rPr>
            </w:pPr>
            <w:r w:rsidRPr="00B25B55">
              <w:rPr>
                <w:color w:val="000000" w:themeColor="text1"/>
                <w:sz w:val="20"/>
                <w:szCs w:val="20"/>
              </w:rPr>
              <w:t>10.8</w:t>
            </w:r>
            <w:r w:rsidR="00B25B55" w:rsidRPr="00B25B55">
              <w:rPr>
                <w:color w:val="000000" w:themeColor="text1"/>
                <w:sz w:val="20"/>
                <w:szCs w:val="20"/>
              </w:rPr>
              <w:t>% pa</w:t>
            </w:r>
          </w:p>
        </w:tc>
        <w:tc>
          <w:tcPr>
            <w:tcW w:w="3907" w:type="dxa"/>
          </w:tcPr>
          <w:p w14:paraId="633245BD" w14:textId="651DC133" w:rsidR="006C4815" w:rsidRPr="004D2E8D" w:rsidRDefault="004D2E8D" w:rsidP="005D4764">
            <w:pPr>
              <w:ind w:right="-1"/>
              <w:jc w:val="center"/>
              <w:rPr>
                <w:color w:val="000000" w:themeColor="text1"/>
                <w:sz w:val="20"/>
                <w:szCs w:val="20"/>
              </w:rPr>
            </w:pPr>
            <w:r w:rsidRPr="004D2E8D">
              <w:rPr>
                <w:color w:val="000000" w:themeColor="text1"/>
                <w:sz w:val="20"/>
                <w:szCs w:val="20"/>
              </w:rPr>
              <w:t>4.0</w:t>
            </w:r>
          </w:p>
        </w:tc>
      </w:tr>
      <w:tr w:rsidR="006C4815" w14:paraId="7A58CCD7" w14:textId="77777777" w:rsidTr="00ED616E">
        <w:tc>
          <w:tcPr>
            <w:tcW w:w="1962" w:type="dxa"/>
          </w:tcPr>
          <w:p w14:paraId="146CF67B" w14:textId="77777777" w:rsidR="006C4815" w:rsidRPr="001351C8" w:rsidRDefault="006C4815" w:rsidP="005D4764">
            <w:pPr>
              <w:ind w:right="-1"/>
              <w:jc w:val="center"/>
              <w:rPr>
                <w:sz w:val="20"/>
                <w:szCs w:val="20"/>
              </w:rPr>
            </w:pPr>
            <w:r w:rsidRPr="001351C8">
              <w:rPr>
                <w:sz w:val="20"/>
                <w:szCs w:val="20"/>
              </w:rPr>
              <w:t>55</w:t>
            </w:r>
          </w:p>
        </w:tc>
        <w:tc>
          <w:tcPr>
            <w:tcW w:w="3907" w:type="dxa"/>
          </w:tcPr>
          <w:p w14:paraId="33387B84" w14:textId="1EE82CE7" w:rsidR="006C4815" w:rsidRPr="00B25B55" w:rsidRDefault="004D2E8D" w:rsidP="005D4764">
            <w:pPr>
              <w:ind w:right="-1"/>
              <w:jc w:val="center"/>
              <w:rPr>
                <w:color w:val="000000" w:themeColor="text1"/>
                <w:sz w:val="20"/>
                <w:szCs w:val="20"/>
              </w:rPr>
            </w:pPr>
            <w:r w:rsidRPr="00B25B55">
              <w:rPr>
                <w:color w:val="000000" w:themeColor="text1"/>
                <w:sz w:val="20"/>
                <w:szCs w:val="20"/>
              </w:rPr>
              <w:t>10.8</w:t>
            </w:r>
            <w:r w:rsidR="00B25B55" w:rsidRPr="00B25B55">
              <w:rPr>
                <w:color w:val="000000" w:themeColor="text1"/>
                <w:sz w:val="20"/>
                <w:szCs w:val="20"/>
              </w:rPr>
              <w:t>% pa</w:t>
            </w:r>
          </w:p>
        </w:tc>
        <w:tc>
          <w:tcPr>
            <w:tcW w:w="3907" w:type="dxa"/>
          </w:tcPr>
          <w:p w14:paraId="18E73E96" w14:textId="2F85AD84" w:rsidR="006C4815" w:rsidRPr="004D2E8D" w:rsidRDefault="004D2E8D" w:rsidP="005D4764">
            <w:pPr>
              <w:ind w:right="-1"/>
              <w:jc w:val="center"/>
              <w:rPr>
                <w:color w:val="000000" w:themeColor="text1"/>
                <w:sz w:val="20"/>
                <w:szCs w:val="20"/>
              </w:rPr>
            </w:pPr>
            <w:r w:rsidRPr="004D2E8D">
              <w:rPr>
                <w:color w:val="000000" w:themeColor="text1"/>
                <w:sz w:val="20"/>
                <w:szCs w:val="20"/>
              </w:rPr>
              <w:t>4.0</w:t>
            </w:r>
          </w:p>
        </w:tc>
      </w:tr>
    </w:tbl>
    <w:p w14:paraId="4E381B21" w14:textId="2A6A7C9E" w:rsidR="008E046C" w:rsidRPr="002E7F7B" w:rsidRDefault="00D86548" w:rsidP="00BA0FB4">
      <w:pPr>
        <w:spacing w:before="240"/>
        <w:jc w:val="both"/>
        <w:rPr>
          <w:b/>
          <w:sz w:val="24"/>
          <w:szCs w:val="24"/>
        </w:rPr>
      </w:pPr>
      <w:r w:rsidRPr="002E7F7B">
        <w:rPr>
          <w:b/>
          <w:sz w:val="24"/>
          <w:szCs w:val="24"/>
        </w:rPr>
        <w:t>CHARGES AND TRANSACTION COSTS</w:t>
      </w:r>
    </w:p>
    <w:p w14:paraId="6E58BC62" w14:textId="04B28987" w:rsidR="00C41073" w:rsidRPr="003459A0" w:rsidRDefault="003459A0" w:rsidP="003459A0">
      <w:pPr>
        <w:pStyle w:val="ListParagraph"/>
        <w:ind w:left="357"/>
        <w:jc w:val="both"/>
        <w:rPr>
          <w:b/>
        </w:rPr>
      </w:pPr>
      <w:r>
        <w:rPr>
          <w:b/>
        </w:rPr>
        <w:t>Overview</w:t>
      </w:r>
    </w:p>
    <w:p w14:paraId="5D3FEE2A" w14:textId="5E159B02" w:rsidR="00C41073" w:rsidRDefault="00454976" w:rsidP="00EF0E1B">
      <w:pPr>
        <w:ind w:left="0" w:firstLine="0"/>
        <w:jc w:val="both"/>
        <w:rPr>
          <w:sz w:val="20"/>
          <w:szCs w:val="20"/>
        </w:rPr>
      </w:pPr>
      <w:r>
        <w:rPr>
          <w:sz w:val="20"/>
          <w:szCs w:val="20"/>
        </w:rPr>
        <w:t xml:space="preserve">The Trustee is required to set out the on-going charges borne by members in this statement. </w:t>
      </w:r>
      <w:r w:rsidR="00C41073" w:rsidRPr="00C41073">
        <w:rPr>
          <w:sz w:val="20"/>
          <w:szCs w:val="20"/>
        </w:rPr>
        <w:t xml:space="preserve">The </w:t>
      </w:r>
      <w:r w:rsidR="008101BB">
        <w:rPr>
          <w:sz w:val="20"/>
          <w:szCs w:val="20"/>
        </w:rPr>
        <w:t xml:space="preserve">main </w:t>
      </w:r>
      <w:r w:rsidR="002871E5">
        <w:rPr>
          <w:sz w:val="20"/>
          <w:szCs w:val="20"/>
        </w:rPr>
        <w:t xml:space="preserve">annual </w:t>
      </w:r>
      <w:r w:rsidR="00C41073" w:rsidRPr="00C41073">
        <w:rPr>
          <w:sz w:val="20"/>
          <w:szCs w:val="20"/>
        </w:rPr>
        <w:t xml:space="preserve">charge paid by members </w:t>
      </w:r>
      <w:r w:rsidR="00E83BFC">
        <w:rPr>
          <w:sz w:val="20"/>
          <w:szCs w:val="20"/>
        </w:rPr>
        <w:t xml:space="preserve">is </w:t>
      </w:r>
      <w:r w:rsidR="00C41073" w:rsidRPr="00C41073">
        <w:rPr>
          <w:sz w:val="20"/>
          <w:szCs w:val="20"/>
        </w:rPr>
        <w:t xml:space="preserve">each investment fund’s Annual Management Charge </w:t>
      </w:r>
      <w:r w:rsidR="00511D9D">
        <w:rPr>
          <w:sz w:val="20"/>
          <w:szCs w:val="20"/>
        </w:rPr>
        <w:t xml:space="preserve">(AMC) </w:t>
      </w:r>
      <w:r w:rsidR="00195FB7">
        <w:rPr>
          <w:sz w:val="20"/>
          <w:szCs w:val="20"/>
        </w:rPr>
        <w:t>and th</w:t>
      </w:r>
      <w:r w:rsidR="00EE751D">
        <w:rPr>
          <w:sz w:val="20"/>
          <w:szCs w:val="20"/>
        </w:rPr>
        <w:t>is is</w:t>
      </w:r>
      <w:r w:rsidR="00195FB7">
        <w:rPr>
          <w:sz w:val="20"/>
          <w:szCs w:val="20"/>
        </w:rPr>
        <w:t xml:space="preserve"> expressed as a percentage </w:t>
      </w:r>
      <w:r w:rsidR="00DB54C1">
        <w:rPr>
          <w:sz w:val="20"/>
          <w:szCs w:val="20"/>
        </w:rPr>
        <w:t>of the value of a member’s DC account</w:t>
      </w:r>
      <w:r w:rsidR="00C41073" w:rsidRPr="00C41073">
        <w:rPr>
          <w:sz w:val="20"/>
          <w:szCs w:val="20"/>
        </w:rPr>
        <w:t xml:space="preserve">. </w:t>
      </w:r>
      <w:r w:rsidR="00DB54C1">
        <w:rPr>
          <w:sz w:val="20"/>
          <w:szCs w:val="20"/>
        </w:rPr>
        <w:t xml:space="preserve"> </w:t>
      </w:r>
      <w:r w:rsidR="00C41073" w:rsidRPr="00C41073">
        <w:rPr>
          <w:sz w:val="20"/>
          <w:szCs w:val="20"/>
        </w:rPr>
        <w:t xml:space="preserve">For example, </w:t>
      </w:r>
      <w:r w:rsidR="009E09DA">
        <w:rPr>
          <w:sz w:val="20"/>
          <w:szCs w:val="20"/>
        </w:rPr>
        <w:t>if the A</w:t>
      </w:r>
      <w:r w:rsidR="00EE751D">
        <w:rPr>
          <w:sz w:val="20"/>
          <w:szCs w:val="20"/>
        </w:rPr>
        <w:t>MC</w:t>
      </w:r>
      <w:r w:rsidR="00A94362">
        <w:rPr>
          <w:sz w:val="20"/>
          <w:szCs w:val="20"/>
        </w:rPr>
        <w:t xml:space="preserve"> for an investment fund</w:t>
      </w:r>
      <w:r w:rsidR="009E09DA">
        <w:rPr>
          <w:sz w:val="20"/>
          <w:szCs w:val="20"/>
        </w:rPr>
        <w:t xml:space="preserve"> is 0.6%</w:t>
      </w:r>
      <w:r w:rsidR="00634827">
        <w:rPr>
          <w:sz w:val="20"/>
          <w:szCs w:val="20"/>
        </w:rPr>
        <w:t xml:space="preserve"> p</w:t>
      </w:r>
      <w:r w:rsidR="002F611D">
        <w:rPr>
          <w:sz w:val="20"/>
          <w:szCs w:val="20"/>
        </w:rPr>
        <w:t xml:space="preserve">er </w:t>
      </w:r>
      <w:r w:rsidR="00634827">
        <w:rPr>
          <w:sz w:val="20"/>
          <w:szCs w:val="20"/>
        </w:rPr>
        <w:t>a</w:t>
      </w:r>
      <w:r w:rsidR="002F611D">
        <w:rPr>
          <w:sz w:val="20"/>
          <w:szCs w:val="20"/>
        </w:rPr>
        <w:t>n</w:t>
      </w:r>
      <w:r w:rsidR="003E4D3F">
        <w:rPr>
          <w:sz w:val="20"/>
          <w:szCs w:val="20"/>
        </w:rPr>
        <w:t>n</w:t>
      </w:r>
      <w:r w:rsidR="002F611D">
        <w:rPr>
          <w:sz w:val="20"/>
          <w:szCs w:val="20"/>
        </w:rPr>
        <w:t>um</w:t>
      </w:r>
      <w:r w:rsidR="00C41073" w:rsidRPr="00C41073">
        <w:rPr>
          <w:sz w:val="20"/>
          <w:szCs w:val="20"/>
        </w:rPr>
        <w:t xml:space="preserve">, </w:t>
      </w:r>
      <w:r w:rsidR="009E09DA">
        <w:rPr>
          <w:sz w:val="20"/>
          <w:szCs w:val="20"/>
        </w:rPr>
        <w:t>this</w:t>
      </w:r>
      <w:r w:rsidR="00C41073" w:rsidRPr="00C41073">
        <w:rPr>
          <w:sz w:val="20"/>
          <w:szCs w:val="20"/>
        </w:rPr>
        <w:t xml:space="preserve"> means the annual charge </w:t>
      </w:r>
      <w:r w:rsidR="00A94362">
        <w:rPr>
          <w:sz w:val="20"/>
          <w:szCs w:val="20"/>
        </w:rPr>
        <w:t>i</w:t>
      </w:r>
      <w:r w:rsidR="00C41073" w:rsidRPr="00C41073">
        <w:rPr>
          <w:sz w:val="20"/>
          <w:szCs w:val="20"/>
        </w:rPr>
        <w:t>s £</w:t>
      </w:r>
      <w:r w:rsidR="00A94362">
        <w:rPr>
          <w:sz w:val="20"/>
          <w:szCs w:val="20"/>
        </w:rPr>
        <w:t>6.00</w:t>
      </w:r>
      <w:r w:rsidR="00C41073" w:rsidRPr="00C41073">
        <w:rPr>
          <w:sz w:val="20"/>
          <w:szCs w:val="20"/>
        </w:rPr>
        <w:t xml:space="preserve"> for every £1,000 invested in t</w:t>
      </w:r>
      <w:r w:rsidR="005C6163">
        <w:rPr>
          <w:sz w:val="20"/>
          <w:szCs w:val="20"/>
        </w:rPr>
        <w:t>he fund</w:t>
      </w:r>
      <w:r w:rsidR="00C41073" w:rsidRPr="00C41073">
        <w:rPr>
          <w:sz w:val="20"/>
          <w:szCs w:val="20"/>
        </w:rPr>
        <w:t>.</w:t>
      </w:r>
    </w:p>
    <w:p w14:paraId="3352FC6B" w14:textId="11E4F4E8" w:rsidR="00182234" w:rsidRDefault="003331EC" w:rsidP="00EF0E1B">
      <w:pPr>
        <w:ind w:left="0" w:firstLine="0"/>
        <w:jc w:val="both"/>
        <w:rPr>
          <w:sz w:val="20"/>
          <w:szCs w:val="20"/>
        </w:rPr>
      </w:pPr>
      <w:r>
        <w:rPr>
          <w:sz w:val="20"/>
          <w:szCs w:val="20"/>
        </w:rPr>
        <w:t xml:space="preserve">Under Prudential policy M028, </w:t>
      </w:r>
      <w:r w:rsidR="001201EE">
        <w:rPr>
          <w:sz w:val="20"/>
          <w:szCs w:val="20"/>
        </w:rPr>
        <w:t xml:space="preserve">for some investment funds there are additional expenses </w:t>
      </w:r>
      <w:r w:rsidR="004D402B">
        <w:rPr>
          <w:sz w:val="20"/>
          <w:szCs w:val="20"/>
        </w:rPr>
        <w:t>on top of</w:t>
      </w:r>
      <w:r w:rsidR="001201EE">
        <w:rPr>
          <w:sz w:val="20"/>
          <w:szCs w:val="20"/>
        </w:rPr>
        <w:t xml:space="preserve"> the </w:t>
      </w:r>
      <w:r w:rsidR="004D402B">
        <w:rPr>
          <w:sz w:val="20"/>
          <w:szCs w:val="20"/>
        </w:rPr>
        <w:t>AMC and these are shown in the table below where applicable.</w:t>
      </w:r>
      <w:r w:rsidR="00C1567C">
        <w:rPr>
          <w:sz w:val="20"/>
          <w:szCs w:val="20"/>
        </w:rPr>
        <w:t xml:space="preserve">  </w:t>
      </w:r>
      <w:r w:rsidR="00340A18">
        <w:rPr>
          <w:sz w:val="20"/>
          <w:szCs w:val="20"/>
        </w:rPr>
        <w:t>The total of the AMC and the additional expenses is known as the Total Ex</w:t>
      </w:r>
      <w:r w:rsidR="00EA6989">
        <w:rPr>
          <w:sz w:val="20"/>
          <w:szCs w:val="20"/>
        </w:rPr>
        <w:t>pense Ratio (TER).</w:t>
      </w:r>
    </w:p>
    <w:p w14:paraId="78A0B71E" w14:textId="6BE037FC" w:rsidR="00C41073" w:rsidRPr="00C41073" w:rsidRDefault="00C41073" w:rsidP="00EF0E1B">
      <w:pPr>
        <w:ind w:left="0" w:firstLine="0"/>
        <w:jc w:val="both"/>
        <w:rPr>
          <w:sz w:val="20"/>
          <w:szCs w:val="20"/>
        </w:rPr>
      </w:pPr>
      <w:r w:rsidRPr="00C41073">
        <w:rPr>
          <w:sz w:val="20"/>
          <w:szCs w:val="20"/>
        </w:rPr>
        <w:lastRenderedPageBreak/>
        <w:t xml:space="preserve">The charges </w:t>
      </w:r>
      <w:r w:rsidR="00314D96">
        <w:rPr>
          <w:sz w:val="20"/>
          <w:szCs w:val="20"/>
        </w:rPr>
        <w:t xml:space="preserve">paid by members </w:t>
      </w:r>
      <w:r w:rsidR="00337C8D">
        <w:rPr>
          <w:sz w:val="20"/>
          <w:szCs w:val="20"/>
        </w:rPr>
        <w:t xml:space="preserve">principally </w:t>
      </w:r>
      <w:r w:rsidRPr="00C41073">
        <w:rPr>
          <w:sz w:val="20"/>
          <w:szCs w:val="20"/>
        </w:rPr>
        <w:t>cover the administration, communication and investment services that Aviva</w:t>
      </w:r>
      <w:r w:rsidR="00314D96">
        <w:rPr>
          <w:sz w:val="20"/>
          <w:szCs w:val="20"/>
        </w:rPr>
        <w:t xml:space="preserve"> and Prudential</w:t>
      </w:r>
      <w:r w:rsidRPr="00C41073">
        <w:rPr>
          <w:sz w:val="20"/>
          <w:szCs w:val="20"/>
        </w:rPr>
        <w:t xml:space="preserve"> provide to </w:t>
      </w:r>
      <w:r w:rsidR="00E70CA6">
        <w:rPr>
          <w:sz w:val="20"/>
          <w:szCs w:val="20"/>
        </w:rPr>
        <w:t xml:space="preserve">the Trustee and </w:t>
      </w:r>
      <w:r w:rsidRPr="00C41073">
        <w:rPr>
          <w:sz w:val="20"/>
          <w:szCs w:val="20"/>
        </w:rPr>
        <w:t xml:space="preserve">members </w:t>
      </w:r>
      <w:r w:rsidR="001942BD">
        <w:rPr>
          <w:sz w:val="20"/>
          <w:szCs w:val="20"/>
        </w:rPr>
        <w:t xml:space="preserve">with DC accounts (although for </w:t>
      </w:r>
      <w:r w:rsidR="0092423F">
        <w:rPr>
          <w:sz w:val="20"/>
          <w:szCs w:val="20"/>
        </w:rPr>
        <w:t xml:space="preserve">members under </w:t>
      </w:r>
      <w:r w:rsidR="00441126">
        <w:rPr>
          <w:sz w:val="20"/>
          <w:szCs w:val="20"/>
        </w:rPr>
        <w:t>Prudential</w:t>
      </w:r>
      <w:r w:rsidR="0092423F">
        <w:rPr>
          <w:sz w:val="20"/>
          <w:szCs w:val="20"/>
        </w:rPr>
        <w:t xml:space="preserve"> policy M028, the Trustee pays the administration costs).</w:t>
      </w:r>
    </w:p>
    <w:p w14:paraId="4777CD49" w14:textId="67A266CA" w:rsidR="00677FD0" w:rsidRDefault="00C41073" w:rsidP="00EF0E1B">
      <w:pPr>
        <w:ind w:left="0" w:firstLine="0"/>
        <w:jc w:val="both"/>
        <w:rPr>
          <w:sz w:val="20"/>
          <w:szCs w:val="20"/>
        </w:rPr>
      </w:pPr>
      <w:r w:rsidRPr="00C41073">
        <w:rPr>
          <w:sz w:val="20"/>
          <w:szCs w:val="20"/>
        </w:rPr>
        <w:t xml:space="preserve">In addition to each investment fund’s </w:t>
      </w:r>
      <w:r w:rsidR="00E53572">
        <w:rPr>
          <w:sz w:val="20"/>
          <w:szCs w:val="20"/>
        </w:rPr>
        <w:t>A</w:t>
      </w:r>
      <w:r w:rsidR="00FB77D9">
        <w:rPr>
          <w:sz w:val="20"/>
          <w:szCs w:val="20"/>
        </w:rPr>
        <w:t>MC</w:t>
      </w:r>
      <w:r w:rsidRPr="00C41073">
        <w:rPr>
          <w:sz w:val="20"/>
          <w:szCs w:val="20"/>
        </w:rPr>
        <w:t>, transaction costs arise when each fund’s investment manager buys or sells the investments held by the fund</w:t>
      </w:r>
      <w:r w:rsidR="000C44A9">
        <w:rPr>
          <w:sz w:val="20"/>
          <w:szCs w:val="20"/>
        </w:rPr>
        <w:t xml:space="preserve"> – more information on these is provided later in this </w:t>
      </w:r>
      <w:r w:rsidR="00BC3E5A">
        <w:rPr>
          <w:sz w:val="20"/>
          <w:szCs w:val="20"/>
        </w:rPr>
        <w:t>statement.</w:t>
      </w:r>
    </w:p>
    <w:p w14:paraId="405E9447" w14:textId="7DDD6901" w:rsidR="00186BDA" w:rsidRPr="00BA0FB4" w:rsidRDefault="00DB6987" w:rsidP="00EF0E1B">
      <w:pPr>
        <w:pStyle w:val="ListParagraph"/>
        <w:ind w:left="0" w:firstLine="0"/>
        <w:jc w:val="both"/>
        <w:rPr>
          <w:b/>
          <w:bCs/>
        </w:rPr>
      </w:pPr>
      <w:r>
        <w:rPr>
          <w:b/>
          <w:bCs/>
        </w:rPr>
        <w:t>A</w:t>
      </w:r>
      <w:r w:rsidR="00186BDA" w:rsidRPr="00BA0FB4">
        <w:rPr>
          <w:b/>
          <w:bCs/>
        </w:rPr>
        <w:t>nnual charges</w:t>
      </w:r>
    </w:p>
    <w:p w14:paraId="4440B1D6" w14:textId="64F25974" w:rsidR="0023475A" w:rsidRPr="00904562" w:rsidRDefault="0050506B" w:rsidP="00EF0E1B">
      <w:pPr>
        <w:pStyle w:val="ListParagraph"/>
        <w:ind w:left="0" w:firstLine="0"/>
        <w:jc w:val="both"/>
        <w:rPr>
          <w:sz w:val="20"/>
          <w:szCs w:val="20"/>
        </w:rPr>
      </w:pPr>
      <w:r w:rsidRPr="00904562">
        <w:rPr>
          <w:sz w:val="20"/>
          <w:szCs w:val="20"/>
        </w:rPr>
        <w:t>The</w:t>
      </w:r>
      <w:r w:rsidR="00E22A03" w:rsidRPr="00904562">
        <w:rPr>
          <w:sz w:val="20"/>
          <w:szCs w:val="20"/>
        </w:rPr>
        <w:t xml:space="preserve"> </w:t>
      </w:r>
      <w:r w:rsidR="0023475A" w:rsidRPr="00904562">
        <w:rPr>
          <w:sz w:val="20"/>
          <w:szCs w:val="20"/>
        </w:rPr>
        <w:t>l</w:t>
      </w:r>
      <w:r w:rsidR="002529D2" w:rsidRPr="00904562">
        <w:rPr>
          <w:sz w:val="20"/>
          <w:szCs w:val="20"/>
        </w:rPr>
        <w:t>evel of</w:t>
      </w:r>
      <w:r w:rsidRPr="00904562">
        <w:rPr>
          <w:sz w:val="20"/>
          <w:szCs w:val="20"/>
        </w:rPr>
        <w:t xml:space="preserve"> </w:t>
      </w:r>
      <w:r w:rsidR="0012191A">
        <w:rPr>
          <w:sz w:val="20"/>
          <w:szCs w:val="20"/>
        </w:rPr>
        <w:t xml:space="preserve">the annual </w:t>
      </w:r>
      <w:r w:rsidRPr="00904562">
        <w:rPr>
          <w:sz w:val="20"/>
          <w:szCs w:val="20"/>
        </w:rPr>
        <w:t xml:space="preserve">charges applicable to </w:t>
      </w:r>
      <w:r w:rsidR="0023475A" w:rsidRPr="00904562">
        <w:rPr>
          <w:sz w:val="20"/>
          <w:szCs w:val="20"/>
        </w:rPr>
        <w:t>the DC</w:t>
      </w:r>
      <w:r w:rsidRPr="00904562">
        <w:rPr>
          <w:sz w:val="20"/>
          <w:szCs w:val="20"/>
        </w:rPr>
        <w:t xml:space="preserve"> accoun</w:t>
      </w:r>
      <w:r w:rsidR="00E22A03" w:rsidRPr="00904562">
        <w:rPr>
          <w:sz w:val="20"/>
          <w:szCs w:val="20"/>
        </w:rPr>
        <w:t>ts</w:t>
      </w:r>
      <w:r w:rsidRPr="00904562">
        <w:rPr>
          <w:sz w:val="20"/>
          <w:szCs w:val="20"/>
        </w:rPr>
        <w:t xml:space="preserve"> for the period covered by this statement </w:t>
      </w:r>
      <w:r w:rsidR="00E22A03" w:rsidRPr="00904562">
        <w:rPr>
          <w:sz w:val="20"/>
          <w:szCs w:val="20"/>
        </w:rPr>
        <w:t>are summarised below.</w:t>
      </w:r>
    </w:p>
    <w:p w14:paraId="304D4D3F" w14:textId="52EF0440" w:rsidR="0023475A" w:rsidRPr="00241D1C" w:rsidRDefault="0023475A" w:rsidP="00EF0E1B">
      <w:pPr>
        <w:pStyle w:val="ListParagraph"/>
        <w:ind w:left="0" w:firstLine="0"/>
        <w:jc w:val="both"/>
        <w:rPr>
          <w:b/>
          <w:bCs/>
          <w:i/>
          <w:sz w:val="20"/>
          <w:szCs w:val="20"/>
        </w:rPr>
      </w:pPr>
      <w:r w:rsidRPr="00241D1C">
        <w:rPr>
          <w:b/>
          <w:bCs/>
          <w:i/>
          <w:sz w:val="20"/>
          <w:szCs w:val="20"/>
        </w:rPr>
        <w:t>Aviva AVC</w:t>
      </w:r>
      <w:r w:rsidR="00C1411E" w:rsidRPr="00241D1C">
        <w:rPr>
          <w:b/>
          <w:bCs/>
          <w:i/>
          <w:sz w:val="20"/>
          <w:szCs w:val="20"/>
        </w:rPr>
        <w:t xml:space="preserve"> A</w:t>
      </w:r>
      <w:r w:rsidR="00B53CD8" w:rsidRPr="00241D1C">
        <w:rPr>
          <w:b/>
          <w:bCs/>
          <w:i/>
          <w:sz w:val="20"/>
          <w:szCs w:val="20"/>
        </w:rPr>
        <w:t>ccounts</w:t>
      </w:r>
    </w:p>
    <w:p w14:paraId="739EEA3B" w14:textId="3B3148AF" w:rsidR="002529D2" w:rsidRPr="00E943A3" w:rsidRDefault="00114941" w:rsidP="00EF0E1B">
      <w:pPr>
        <w:ind w:left="0" w:firstLine="0"/>
        <w:jc w:val="both"/>
        <w:rPr>
          <w:color w:val="000000" w:themeColor="text1"/>
          <w:sz w:val="20"/>
          <w:szCs w:val="20"/>
        </w:rPr>
      </w:pPr>
      <w:r w:rsidRPr="00904562">
        <w:rPr>
          <w:sz w:val="20"/>
          <w:szCs w:val="20"/>
        </w:rPr>
        <w:t xml:space="preserve">Members’ </w:t>
      </w:r>
      <w:r w:rsidR="0012191A">
        <w:rPr>
          <w:sz w:val="20"/>
          <w:szCs w:val="20"/>
        </w:rPr>
        <w:t>AVC A</w:t>
      </w:r>
      <w:r w:rsidRPr="00904562">
        <w:rPr>
          <w:sz w:val="20"/>
          <w:szCs w:val="20"/>
        </w:rPr>
        <w:t>ccount</w:t>
      </w:r>
      <w:r w:rsidR="00B635A7" w:rsidRPr="00904562">
        <w:rPr>
          <w:sz w:val="20"/>
          <w:szCs w:val="20"/>
        </w:rPr>
        <w:t xml:space="preserve">s with Aviva are subject to </w:t>
      </w:r>
      <w:r w:rsidR="00351C5C">
        <w:rPr>
          <w:sz w:val="20"/>
          <w:szCs w:val="20"/>
        </w:rPr>
        <w:t>a</w:t>
      </w:r>
      <w:r w:rsidR="00D87366" w:rsidRPr="00351C5C">
        <w:rPr>
          <w:sz w:val="20"/>
          <w:szCs w:val="20"/>
        </w:rPr>
        <w:t xml:space="preserve">n </w:t>
      </w:r>
      <w:r w:rsidR="00D87366" w:rsidRPr="00E943A3">
        <w:rPr>
          <w:color w:val="000000" w:themeColor="text1"/>
          <w:sz w:val="20"/>
          <w:szCs w:val="20"/>
        </w:rPr>
        <w:t xml:space="preserve">Annual </w:t>
      </w:r>
      <w:r w:rsidR="00FC0C77" w:rsidRPr="00E943A3">
        <w:rPr>
          <w:color w:val="000000" w:themeColor="text1"/>
          <w:sz w:val="20"/>
          <w:szCs w:val="20"/>
        </w:rPr>
        <w:t>Management</w:t>
      </w:r>
      <w:r w:rsidR="00D87366" w:rsidRPr="00E943A3">
        <w:rPr>
          <w:color w:val="000000" w:themeColor="text1"/>
          <w:sz w:val="20"/>
          <w:szCs w:val="20"/>
        </w:rPr>
        <w:t xml:space="preserve"> Charge </w:t>
      </w:r>
      <w:r w:rsidR="003D4DCA" w:rsidRPr="00E943A3">
        <w:rPr>
          <w:color w:val="000000" w:themeColor="text1"/>
          <w:sz w:val="20"/>
          <w:szCs w:val="20"/>
        </w:rPr>
        <w:t>of</w:t>
      </w:r>
      <w:r w:rsidR="00B635A7" w:rsidRPr="00E943A3">
        <w:rPr>
          <w:color w:val="000000" w:themeColor="text1"/>
          <w:sz w:val="20"/>
          <w:szCs w:val="20"/>
        </w:rPr>
        <w:t xml:space="preserve"> 0.60</w:t>
      </w:r>
      <w:r w:rsidR="00E943A3" w:rsidRPr="00E943A3">
        <w:rPr>
          <w:color w:val="000000" w:themeColor="text1"/>
          <w:sz w:val="20"/>
          <w:szCs w:val="20"/>
        </w:rPr>
        <w:t xml:space="preserve">% for one policy </w:t>
      </w:r>
      <w:r w:rsidR="002B27A3">
        <w:rPr>
          <w:color w:val="000000" w:themeColor="text1"/>
          <w:sz w:val="20"/>
          <w:szCs w:val="20"/>
        </w:rPr>
        <w:t xml:space="preserve">and </w:t>
      </w:r>
      <w:r w:rsidR="00903459">
        <w:rPr>
          <w:color w:val="000000" w:themeColor="text1"/>
          <w:sz w:val="20"/>
          <w:szCs w:val="20"/>
        </w:rPr>
        <w:t>a</w:t>
      </w:r>
      <w:r w:rsidR="00E943A3" w:rsidRPr="00F31301">
        <w:rPr>
          <w:color w:val="000000" w:themeColor="text1"/>
          <w:sz w:val="20"/>
          <w:szCs w:val="20"/>
        </w:rPr>
        <w:t xml:space="preserve"> monthly policy fee which varies from £0.00 - £5.98</w:t>
      </w:r>
      <w:r w:rsidR="00E943A3" w:rsidRPr="00F31301">
        <w:rPr>
          <w:color w:val="FF0000"/>
          <w:sz w:val="20"/>
          <w:szCs w:val="20"/>
        </w:rPr>
        <w:t xml:space="preserve">. </w:t>
      </w:r>
    </w:p>
    <w:p w14:paraId="456066BF" w14:textId="7E00BECF" w:rsidR="0023475A" w:rsidRPr="00241D1C" w:rsidRDefault="00114941" w:rsidP="00EF0E1B">
      <w:pPr>
        <w:pStyle w:val="ListParagraph"/>
        <w:ind w:left="0" w:firstLine="0"/>
        <w:jc w:val="both"/>
        <w:rPr>
          <w:b/>
          <w:bCs/>
          <w:i/>
          <w:sz w:val="20"/>
          <w:szCs w:val="20"/>
        </w:rPr>
      </w:pPr>
      <w:r w:rsidRPr="00241D1C">
        <w:rPr>
          <w:b/>
          <w:bCs/>
          <w:i/>
          <w:sz w:val="20"/>
          <w:szCs w:val="20"/>
        </w:rPr>
        <w:t>Prudential</w:t>
      </w:r>
      <w:r w:rsidR="0023475A" w:rsidRPr="00241D1C">
        <w:rPr>
          <w:b/>
          <w:bCs/>
          <w:i/>
          <w:sz w:val="20"/>
          <w:szCs w:val="20"/>
        </w:rPr>
        <w:t xml:space="preserve"> </w:t>
      </w:r>
      <w:r w:rsidR="00C1411E" w:rsidRPr="00241D1C">
        <w:rPr>
          <w:b/>
          <w:bCs/>
          <w:i/>
          <w:sz w:val="20"/>
          <w:szCs w:val="20"/>
        </w:rPr>
        <w:t>Transfer A</w:t>
      </w:r>
      <w:r w:rsidR="00B53CD8" w:rsidRPr="00241D1C">
        <w:rPr>
          <w:b/>
          <w:bCs/>
          <w:i/>
          <w:sz w:val="20"/>
          <w:szCs w:val="20"/>
        </w:rPr>
        <w:t>ccounts</w:t>
      </w:r>
    </w:p>
    <w:p w14:paraId="4C76C076" w14:textId="63C2A00F" w:rsidR="00B53CD8" w:rsidRPr="00904562" w:rsidRDefault="00C442EE" w:rsidP="00EF0E1B">
      <w:pPr>
        <w:ind w:left="0" w:firstLine="0"/>
        <w:jc w:val="both"/>
        <w:rPr>
          <w:sz w:val="20"/>
          <w:szCs w:val="20"/>
        </w:rPr>
      </w:pPr>
      <w:r>
        <w:rPr>
          <w:sz w:val="20"/>
          <w:szCs w:val="20"/>
        </w:rPr>
        <w:t>For m</w:t>
      </w:r>
      <w:r w:rsidR="0012191A">
        <w:rPr>
          <w:sz w:val="20"/>
          <w:szCs w:val="20"/>
        </w:rPr>
        <w:t>embers</w:t>
      </w:r>
      <w:r>
        <w:rPr>
          <w:sz w:val="20"/>
          <w:szCs w:val="20"/>
        </w:rPr>
        <w:t xml:space="preserve"> with</w:t>
      </w:r>
      <w:r w:rsidR="0012191A">
        <w:rPr>
          <w:sz w:val="20"/>
          <w:szCs w:val="20"/>
        </w:rPr>
        <w:t xml:space="preserve"> T</w:t>
      </w:r>
      <w:r w:rsidR="00114941" w:rsidRPr="00904562">
        <w:rPr>
          <w:sz w:val="20"/>
          <w:szCs w:val="20"/>
        </w:rPr>
        <w:t xml:space="preserve">ransfer </w:t>
      </w:r>
      <w:r w:rsidR="0012191A">
        <w:rPr>
          <w:sz w:val="20"/>
          <w:szCs w:val="20"/>
        </w:rPr>
        <w:t>A</w:t>
      </w:r>
      <w:r w:rsidR="00114941" w:rsidRPr="00904562">
        <w:rPr>
          <w:sz w:val="20"/>
          <w:szCs w:val="20"/>
        </w:rPr>
        <w:t>ccounts</w:t>
      </w:r>
      <w:r w:rsidR="00E837BB">
        <w:rPr>
          <w:sz w:val="20"/>
          <w:szCs w:val="20"/>
        </w:rPr>
        <w:t xml:space="preserve"> with Prudential</w:t>
      </w:r>
      <w:r w:rsidR="008A4219">
        <w:rPr>
          <w:sz w:val="20"/>
          <w:szCs w:val="20"/>
        </w:rPr>
        <w:t xml:space="preserve">, the </w:t>
      </w:r>
      <w:r w:rsidR="002F5805">
        <w:rPr>
          <w:sz w:val="20"/>
          <w:szCs w:val="20"/>
        </w:rPr>
        <w:t xml:space="preserve">level of </w:t>
      </w:r>
      <w:r w:rsidR="008A4219">
        <w:rPr>
          <w:sz w:val="20"/>
          <w:szCs w:val="20"/>
        </w:rPr>
        <w:t>annual charges differ between</w:t>
      </w:r>
      <w:r w:rsidR="00114941" w:rsidRPr="00904562">
        <w:rPr>
          <w:sz w:val="20"/>
          <w:szCs w:val="20"/>
        </w:rPr>
        <w:t xml:space="preserve"> the</w:t>
      </w:r>
      <w:r w:rsidR="00B635A7" w:rsidRPr="00904562">
        <w:rPr>
          <w:sz w:val="20"/>
          <w:szCs w:val="20"/>
        </w:rPr>
        <w:t xml:space="preserve"> </w:t>
      </w:r>
      <w:r w:rsidR="00880206" w:rsidRPr="00904562">
        <w:rPr>
          <w:sz w:val="20"/>
          <w:szCs w:val="20"/>
        </w:rPr>
        <w:t xml:space="preserve">two </w:t>
      </w:r>
      <w:r w:rsidR="00B635A7" w:rsidRPr="00904562">
        <w:rPr>
          <w:sz w:val="20"/>
          <w:szCs w:val="20"/>
        </w:rPr>
        <w:t xml:space="preserve">policies </w:t>
      </w:r>
      <w:r w:rsidR="002F5805">
        <w:rPr>
          <w:sz w:val="20"/>
          <w:szCs w:val="20"/>
        </w:rPr>
        <w:t>as sum</w:t>
      </w:r>
      <w:r w:rsidR="00A6682A">
        <w:rPr>
          <w:sz w:val="20"/>
          <w:szCs w:val="20"/>
        </w:rPr>
        <w:t>m</w:t>
      </w:r>
      <w:r w:rsidR="002F5805">
        <w:rPr>
          <w:sz w:val="20"/>
          <w:szCs w:val="20"/>
        </w:rPr>
        <w:t>arised below.</w:t>
      </w:r>
    </w:p>
    <w:p w14:paraId="04CD755D" w14:textId="77777777" w:rsidR="00B53CD8" w:rsidRPr="00DE7A38" w:rsidRDefault="00B53CD8" w:rsidP="00EF0E1B">
      <w:pPr>
        <w:ind w:left="0" w:firstLine="0"/>
        <w:jc w:val="both"/>
        <w:rPr>
          <w:i/>
          <w:iCs/>
          <w:sz w:val="20"/>
          <w:szCs w:val="20"/>
        </w:rPr>
      </w:pPr>
      <w:r w:rsidRPr="00DE7A38">
        <w:rPr>
          <w:i/>
          <w:iCs/>
          <w:sz w:val="20"/>
          <w:szCs w:val="20"/>
        </w:rPr>
        <w:t>Policy TTP0062</w:t>
      </w:r>
    </w:p>
    <w:p w14:paraId="0896D43D" w14:textId="083BCBD8" w:rsidR="00E94B3A" w:rsidRPr="00297AF9" w:rsidRDefault="00B53CD8" w:rsidP="00405D75">
      <w:pPr>
        <w:pStyle w:val="ListParagraph"/>
        <w:numPr>
          <w:ilvl w:val="0"/>
          <w:numId w:val="34"/>
        </w:numPr>
        <w:ind w:left="357" w:hanging="357"/>
        <w:jc w:val="both"/>
        <w:rPr>
          <w:color w:val="000000" w:themeColor="text1"/>
          <w:sz w:val="20"/>
          <w:szCs w:val="20"/>
        </w:rPr>
      </w:pPr>
      <w:r w:rsidRPr="00297AF9">
        <w:rPr>
          <w:color w:val="000000" w:themeColor="text1"/>
          <w:sz w:val="20"/>
          <w:szCs w:val="20"/>
        </w:rPr>
        <w:t xml:space="preserve">An </w:t>
      </w:r>
      <w:r w:rsidR="00E22A03" w:rsidRPr="00297AF9">
        <w:rPr>
          <w:color w:val="000000" w:themeColor="text1"/>
          <w:sz w:val="20"/>
          <w:szCs w:val="20"/>
        </w:rPr>
        <w:t>Annual Management C</w:t>
      </w:r>
      <w:r w:rsidR="00B635A7" w:rsidRPr="00297AF9">
        <w:rPr>
          <w:color w:val="000000" w:themeColor="text1"/>
          <w:sz w:val="20"/>
          <w:szCs w:val="20"/>
        </w:rPr>
        <w:t>har</w:t>
      </w:r>
      <w:r w:rsidRPr="00297AF9">
        <w:rPr>
          <w:color w:val="000000" w:themeColor="text1"/>
          <w:sz w:val="20"/>
          <w:szCs w:val="20"/>
        </w:rPr>
        <w:t>ge of</w:t>
      </w:r>
      <w:r w:rsidR="00E94B3A" w:rsidRPr="00297AF9">
        <w:rPr>
          <w:color w:val="000000" w:themeColor="text1"/>
          <w:sz w:val="20"/>
          <w:szCs w:val="20"/>
        </w:rPr>
        <w:t xml:space="preserve"> </w:t>
      </w:r>
      <w:r w:rsidR="00E943A3" w:rsidRPr="00E943A3">
        <w:rPr>
          <w:color w:val="000000" w:themeColor="text1"/>
          <w:sz w:val="20"/>
          <w:szCs w:val="20"/>
        </w:rPr>
        <w:t>0.96</w:t>
      </w:r>
      <w:r w:rsidR="00E94B3A" w:rsidRPr="00E943A3">
        <w:rPr>
          <w:color w:val="000000" w:themeColor="text1"/>
          <w:sz w:val="20"/>
          <w:szCs w:val="20"/>
        </w:rPr>
        <w:t xml:space="preserve">% </w:t>
      </w:r>
      <w:r w:rsidR="002766BB" w:rsidRPr="00E943A3">
        <w:rPr>
          <w:color w:val="000000" w:themeColor="text1"/>
          <w:sz w:val="20"/>
          <w:szCs w:val="20"/>
        </w:rPr>
        <w:t xml:space="preserve">(and expected additional expenses of 0.31%) per annum </w:t>
      </w:r>
      <w:r w:rsidR="007F1766" w:rsidRPr="00297AF9">
        <w:rPr>
          <w:color w:val="000000" w:themeColor="text1"/>
          <w:sz w:val="20"/>
          <w:szCs w:val="20"/>
        </w:rPr>
        <w:t>for the With-Profits Fund</w:t>
      </w:r>
      <w:r w:rsidR="00960B87" w:rsidRPr="00297AF9">
        <w:rPr>
          <w:color w:val="000000" w:themeColor="text1"/>
          <w:sz w:val="20"/>
          <w:szCs w:val="20"/>
        </w:rPr>
        <w:t xml:space="preserve"> (all members are invested in this fund)</w:t>
      </w:r>
      <w:r w:rsidR="00C8205D" w:rsidRPr="00297AF9">
        <w:rPr>
          <w:color w:val="000000" w:themeColor="text1"/>
          <w:sz w:val="20"/>
          <w:szCs w:val="20"/>
        </w:rPr>
        <w:t>;</w:t>
      </w:r>
    </w:p>
    <w:p w14:paraId="4C52613E" w14:textId="09BFC09E" w:rsidR="009C1AAE" w:rsidRPr="00FF13BF" w:rsidRDefault="009C1AAE" w:rsidP="00405D75">
      <w:pPr>
        <w:pStyle w:val="ListParagraph"/>
        <w:numPr>
          <w:ilvl w:val="0"/>
          <w:numId w:val="34"/>
        </w:numPr>
        <w:ind w:left="357" w:hanging="357"/>
        <w:jc w:val="both"/>
        <w:rPr>
          <w:color w:val="000000" w:themeColor="text1"/>
          <w:sz w:val="20"/>
          <w:szCs w:val="20"/>
        </w:rPr>
      </w:pPr>
      <w:r w:rsidRPr="00FF13BF">
        <w:rPr>
          <w:color w:val="000000" w:themeColor="text1"/>
          <w:sz w:val="20"/>
          <w:szCs w:val="20"/>
        </w:rPr>
        <w:t>An Annual Management Charge of 0.7</w:t>
      </w:r>
      <w:r w:rsidR="00FF13BF" w:rsidRPr="00FF13BF">
        <w:rPr>
          <w:color w:val="000000" w:themeColor="text1"/>
          <w:sz w:val="20"/>
          <w:szCs w:val="20"/>
        </w:rPr>
        <w:t>7</w:t>
      </w:r>
      <w:r w:rsidRPr="00FF13BF">
        <w:rPr>
          <w:color w:val="000000" w:themeColor="text1"/>
          <w:sz w:val="20"/>
          <w:szCs w:val="20"/>
        </w:rPr>
        <w:t xml:space="preserve">% </w:t>
      </w:r>
      <w:r w:rsidR="00FF13BF" w:rsidRPr="00FF13BF">
        <w:rPr>
          <w:color w:val="000000" w:themeColor="text1"/>
          <w:sz w:val="20"/>
          <w:szCs w:val="20"/>
        </w:rPr>
        <w:t xml:space="preserve">(annual management charge of 0.75% plus additional expenses of 0.02%) </w:t>
      </w:r>
      <w:r w:rsidRPr="00FF13BF">
        <w:rPr>
          <w:color w:val="000000" w:themeColor="text1"/>
          <w:sz w:val="20"/>
          <w:szCs w:val="20"/>
        </w:rPr>
        <w:t>per annum for the Discretionary Fund</w:t>
      </w:r>
      <w:r w:rsidR="00FF49F4" w:rsidRPr="00FF13BF">
        <w:rPr>
          <w:color w:val="000000" w:themeColor="text1"/>
          <w:sz w:val="20"/>
          <w:szCs w:val="20"/>
        </w:rPr>
        <w:t xml:space="preserve"> (this is the alternative investment fund in which members can invest if they wish</w:t>
      </w:r>
      <w:r w:rsidR="00FF13BF">
        <w:rPr>
          <w:color w:val="000000" w:themeColor="text1"/>
          <w:sz w:val="20"/>
          <w:szCs w:val="20"/>
        </w:rPr>
        <w:t>).</w:t>
      </w:r>
    </w:p>
    <w:p w14:paraId="3FAC66E3" w14:textId="7F6CE5B0" w:rsidR="00E94B3A" w:rsidRPr="00241D1C" w:rsidRDefault="00E94B3A" w:rsidP="00EF0E1B">
      <w:pPr>
        <w:ind w:left="0" w:firstLine="0"/>
        <w:jc w:val="both"/>
        <w:rPr>
          <w:i/>
          <w:iCs/>
          <w:sz w:val="20"/>
          <w:szCs w:val="20"/>
        </w:rPr>
      </w:pPr>
      <w:r w:rsidRPr="00241D1C">
        <w:rPr>
          <w:i/>
          <w:iCs/>
          <w:sz w:val="20"/>
          <w:szCs w:val="20"/>
        </w:rPr>
        <w:t>Policy M028</w:t>
      </w:r>
    </w:p>
    <w:p w14:paraId="73FEDC42" w14:textId="165B2A2B" w:rsidR="00C166AD" w:rsidRPr="00DF44E1" w:rsidRDefault="00831D2B" w:rsidP="002B5745">
      <w:pPr>
        <w:spacing w:after="240"/>
        <w:ind w:left="0" w:firstLine="0"/>
        <w:jc w:val="both"/>
        <w:rPr>
          <w:sz w:val="20"/>
          <w:szCs w:val="20"/>
        </w:rPr>
      </w:pPr>
      <w:r w:rsidRPr="00904562">
        <w:rPr>
          <w:sz w:val="20"/>
          <w:szCs w:val="20"/>
        </w:rPr>
        <w:t>Under policy M028, members only incur investment charges with the administration costs being met by the Trustee.</w:t>
      </w:r>
      <w:r w:rsidR="002B5745">
        <w:rPr>
          <w:sz w:val="20"/>
          <w:szCs w:val="20"/>
        </w:rPr>
        <w:t xml:space="preserve">  </w:t>
      </w:r>
      <w:r w:rsidR="00DA76E8">
        <w:rPr>
          <w:sz w:val="20"/>
          <w:szCs w:val="20"/>
        </w:rPr>
        <w:t>Currently, all members in this policy are invested in the lifestyle investment str</w:t>
      </w:r>
      <w:r w:rsidR="0096444C">
        <w:rPr>
          <w:sz w:val="20"/>
          <w:szCs w:val="20"/>
        </w:rPr>
        <w:t>ategy and t</w:t>
      </w:r>
      <w:r w:rsidR="007322D1" w:rsidRPr="00DF44E1">
        <w:rPr>
          <w:sz w:val="20"/>
          <w:szCs w:val="20"/>
        </w:rPr>
        <w:t>he</w:t>
      </w:r>
      <w:r w:rsidR="00E94B3A" w:rsidRPr="00DF44E1">
        <w:rPr>
          <w:sz w:val="20"/>
          <w:szCs w:val="20"/>
        </w:rPr>
        <w:t xml:space="preserve"> </w:t>
      </w:r>
      <w:r w:rsidR="00182B7E">
        <w:rPr>
          <w:sz w:val="20"/>
          <w:szCs w:val="20"/>
        </w:rPr>
        <w:t>T</w:t>
      </w:r>
      <w:r w:rsidR="002938D4">
        <w:rPr>
          <w:sz w:val="20"/>
          <w:szCs w:val="20"/>
        </w:rPr>
        <w:t>ERs</w:t>
      </w:r>
      <w:r w:rsidR="007322D1" w:rsidRPr="00DF44E1">
        <w:rPr>
          <w:sz w:val="20"/>
          <w:szCs w:val="20"/>
        </w:rPr>
        <w:t xml:space="preserve"> for th</w:t>
      </w:r>
      <w:r w:rsidR="0096444C">
        <w:rPr>
          <w:sz w:val="20"/>
          <w:szCs w:val="20"/>
        </w:rPr>
        <w:t>e underlying investment funds</w:t>
      </w:r>
      <w:r w:rsidR="007322D1" w:rsidRPr="00DF44E1">
        <w:rPr>
          <w:sz w:val="20"/>
          <w:szCs w:val="20"/>
        </w:rPr>
        <w:t xml:space="preserve"> are shown in the table below</w:t>
      </w:r>
      <w:r w:rsidR="00C166AD" w:rsidRPr="00DF44E1">
        <w:rPr>
          <w:sz w:val="20"/>
          <w:szCs w:val="20"/>
        </w:rPr>
        <w:t>.</w:t>
      </w:r>
    </w:p>
    <w:tbl>
      <w:tblPr>
        <w:tblStyle w:val="TableGrid"/>
        <w:tblW w:w="0" w:type="auto"/>
        <w:tblInd w:w="-5" w:type="dxa"/>
        <w:tblLook w:val="04A0" w:firstRow="1" w:lastRow="0" w:firstColumn="1" w:lastColumn="0" w:noHBand="0" w:noVBand="1"/>
      </w:tblPr>
      <w:tblGrid>
        <w:gridCol w:w="4113"/>
        <w:gridCol w:w="1983"/>
        <w:gridCol w:w="1524"/>
        <w:gridCol w:w="1743"/>
      </w:tblGrid>
      <w:tr w:rsidR="00902EB7" w14:paraId="3DFC19C7" w14:textId="736A005C" w:rsidTr="00B66453">
        <w:tc>
          <w:tcPr>
            <w:tcW w:w="4113" w:type="dxa"/>
            <w:shd w:val="clear" w:color="auto" w:fill="BFBFBF" w:themeFill="background1" w:themeFillShade="BF"/>
          </w:tcPr>
          <w:p w14:paraId="3E19E134" w14:textId="460BEF95" w:rsidR="00902EB7" w:rsidRPr="005878DE" w:rsidRDefault="00902EB7" w:rsidP="00C166AD">
            <w:pPr>
              <w:ind w:left="0" w:firstLine="0"/>
              <w:rPr>
                <w:b/>
                <w:bCs/>
                <w:sz w:val="20"/>
                <w:szCs w:val="20"/>
              </w:rPr>
            </w:pPr>
            <w:r w:rsidRPr="005878DE">
              <w:rPr>
                <w:b/>
                <w:bCs/>
                <w:sz w:val="20"/>
                <w:szCs w:val="20"/>
              </w:rPr>
              <w:t>Prudential Fund</w:t>
            </w:r>
          </w:p>
        </w:tc>
        <w:tc>
          <w:tcPr>
            <w:tcW w:w="1983" w:type="dxa"/>
            <w:shd w:val="clear" w:color="auto" w:fill="BFBFBF" w:themeFill="background1" w:themeFillShade="BF"/>
          </w:tcPr>
          <w:p w14:paraId="01E15EBD" w14:textId="20279571" w:rsidR="00902EB7" w:rsidRPr="005878DE" w:rsidRDefault="00902EB7" w:rsidP="00E42809">
            <w:pPr>
              <w:ind w:left="0" w:firstLine="0"/>
              <w:jc w:val="center"/>
              <w:rPr>
                <w:b/>
                <w:bCs/>
                <w:sz w:val="20"/>
                <w:szCs w:val="20"/>
              </w:rPr>
            </w:pPr>
            <w:r w:rsidRPr="005878DE">
              <w:rPr>
                <w:b/>
                <w:bCs/>
                <w:sz w:val="20"/>
                <w:szCs w:val="20"/>
              </w:rPr>
              <w:t>Annual Management Charge</w:t>
            </w:r>
            <w:r w:rsidR="002938D4" w:rsidRPr="005878DE">
              <w:rPr>
                <w:b/>
                <w:bCs/>
                <w:sz w:val="20"/>
                <w:szCs w:val="20"/>
              </w:rPr>
              <w:t xml:space="preserve"> (AMC)</w:t>
            </w:r>
          </w:p>
        </w:tc>
        <w:tc>
          <w:tcPr>
            <w:tcW w:w="1524" w:type="dxa"/>
            <w:shd w:val="clear" w:color="auto" w:fill="BFBFBF" w:themeFill="background1" w:themeFillShade="BF"/>
          </w:tcPr>
          <w:p w14:paraId="08C6F7FC" w14:textId="55E832AA" w:rsidR="00902EB7" w:rsidRPr="005878DE" w:rsidRDefault="00902EB7" w:rsidP="00E42809">
            <w:pPr>
              <w:ind w:left="0" w:firstLine="0"/>
              <w:jc w:val="center"/>
              <w:rPr>
                <w:b/>
                <w:bCs/>
                <w:sz w:val="20"/>
                <w:szCs w:val="20"/>
              </w:rPr>
            </w:pPr>
            <w:r w:rsidRPr="005878DE">
              <w:rPr>
                <w:b/>
                <w:bCs/>
                <w:sz w:val="20"/>
                <w:szCs w:val="20"/>
              </w:rPr>
              <w:t>Additional Expenses</w:t>
            </w:r>
          </w:p>
        </w:tc>
        <w:tc>
          <w:tcPr>
            <w:tcW w:w="1743" w:type="dxa"/>
            <w:shd w:val="clear" w:color="auto" w:fill="BFBFBF" w:themeFill="background1" w:themeFillShade="BF"/>
          </w:tcPr>
          <w:p w14:paraId="449CAF2D" w14:textId="1A942DFA" w:rsidR="00902EB7" w:rsidRPr="005878DE" w:rsidRDefault="00902EB7" w:rsidP="00E42809">
            <w:pPr>
              <w:ind w:left="0" w:firstLine="0"/>
              <w:jc w:val="center"/>
              <w:rPr>
                <w:b/>
                <w:bCs/>
                <w:sz w:val="20"/>
                <w:szCs w:val="20"/>
              </w:rPr>
            </w:pPr>
            <w:r w:rsidRPr="005878DE">
              <w:rPr>
                <w:b/>
                <w:bCs/>
                <w:sz w:val="20"/>
                <w:szCs w:val="20"/>
              </w:rPr>
              <w:t>Total Expense Ratio</w:t>
            </w:r>
            <w:r w:rsidR="002938D4" w:rsidRPr="005878DE">
              <w:rPr>
                <w:b/>
                <w:bCs/>
                <w:sz w:val="20"/>
                <w:szCs w:val="20"/>
              </w:rPr>
              <w:t xml:space="preserve"> (TER)</w:t>
            </w:r>
          </w:p>
        </w:tc>
      </w:tr>
      <w:tr w:rsidR="00902EB7" w14:paraId="6ED826E6" w14:textId="29F467EE" w:rsidTr="00B66453">
        <w:tc>
          <w:tcPr>
            <w:tcW w:w="4113" w:type="dxa"/>
          </w:tcPr>
          <w:p w14:paraId="0B75CC14" w14:textId="6713DA5E" w:rsidR="00902EB7" w:rsidRDefault="00902EB7" w:rsidP="00615E3B">
            <w:pPr>
              <w:spacing w:before="60" w:after="60"/>
              <w:ind w:left="0" w:firstLine="0"/>
              <w:rPr>
                <w:sz w:val="20"/>
                <w:szCs w:val="20"/>
              </w:rPr>
            </w:pPr>
            <w:r>
              <w:rPr>
                <w:sz w:val="20"/>
                <w:szCs w:val="20"/>
              </w:rPr>
              <w:t>Dynamic Global Equity Passive</w:t>
            </w:r>
          </w:p>
        </w:tc>
        <w:tc>
          <w:tcPr>
            <w:tcW w:w="1983" w:type="dxa"/>
          </w:tcPr>
          <w:p w14:paraId="4122CB25" w14:textId="580A1179" w:rsidR="00902EB7" w:rsidRPr="00FF13BF" w:rsidRDefault="00902EB7" w:rsidP="00E2045C">
            <w:pPr>
              <w:spacing w:before="60" w:after="60"/>
              <w:ind w:left="0" w:firstLine="0"/>
              <w:jc w:val="center"/>
              <w:rPr>
                <w:color w:val="000000" w:themeColor="text1"/>
                <w:sz w:val="20"/>
                <w:szCs w:val="20"/>
              </w:rPr>
            </w:pPr>
            <w:r w:rsidRPr="00FF13BF">
              <w:rPr>
                <w:color w:val="000000" w:themeColor="text1"/>
                <w:sz w:val="20"/>
                <w:szCs w:val="20"/>
              </w:rPr>
              <w:t>0.</w:t>
            </w:r>
            <w:r w:rsidR="001B2048" w:rsidRPr="00FF13BF">
              <w:rPr>
                <w:color w:val="000000" w:themeColor="text1"/>
                <w:sz w:val="20"/>
                <w:szCs w:val="20"/>
              </w:rPr>
              <w:t>320</w:t>
            </w:r>
            <w:r w:rsidRPr="00FF13BF">
              <w:rPr>
                <w:color w:val="000000" w:themeColor="text1"/>
                <w:sz w:val="20"/>
                <w:szCs w:val="20"/>
              </w:rPr>
              <w:t>%</w:t>
            </w:r>
          </w:p>
        </w:tc>
        <w:tc>
          <w:tcPr>
            <w:tcW w:w="1524" w:type="dxa"/>
          </w:tcPr>
          <w:p w14:paraId="481DB7BA" w14:textId="04D44C36" w:rsidR="00902EB7" w:rsidRPr="00FF13BF" w:rsidRDefault="001B2048" w:rsidP="00E2045C">
            <w:pPr>
              <w:spacing w:before="60" w:after="60"/>
              <w:ind w:left="0" w:firstLine="0"/>
              <w:jc w:val="center"/>
              <w:rPr>
                <w:color w:val="000000" w:themeColor="text1"/>
                <w:sz w:val="20"/>
                <w:szCs w:val="20"/>
              </w:rPr>
            </w:pPr>
            <w:r w:rsidRPr="00FF13BF">
              <w:rPr>
                <w:color w:val="000000" w:themeColor="text1"/>
                <w:sz w:val="20"/>
                <w:szCs w:val="20"/>
              </w:rPr>
              <w:t>0.0</w:t>
            </w:r>
            <w:r w:rsidR="003647E4" w:rsidRPr="00FF13BF">
              <w:rPr>
                <w:color w:val="000000" w:themeColor="text1"/>
                <w:sz w:val="20"/>
                <w:szCs w:val="20"/>
              </w:rPr>
              <w:t>0</w:t>
            </w:r>
            <w:r w:rsidRPr="00FF13BF">
              <w:rPr>
                <w:color w:val="000000" w:themeColor="text1"/>
                <w:sz w:val="20"/>
                <w:szCs w:val="20"/>
              </w:rPr>
              <w:t>0%</w:t>
            </w:r>
          </w:p>
        </w:tc>
        <w:tc>
          <w:tcPr>
            <w:tcW w:w="1743" w:type="dxa"/>
          </w:tcPr>
          <w:p w14:paraId="2043F18D" w14:textId="436EEB2D" w:rsidR="00902EB7" w:rsidRPr="00FF13BF" w:rsidRDefault="001B2048" w:rsidP="00E2045C">
            <w:pPr>
              <w:spacing w:before="60" w:after="60"/>
              <w:ind w:left="0" w:firstLine="0"/>
              <w:jc w:val="center"/>
              <w:rPr>
                <w:color w:val="000000" w:themeColor="text1"/>
                <w:sz w:val="20"/>
                <w:szCs w:val="20"/>
              </w:rPr>
            </w:pPr>
            <w:r w:rsidRPr="00FF13BF">
              <w:rPr>
                <w:color w:val="000000" w:themeColor="text1"/>
                <w:sz w:val="20"/>
                <w:szCs w:val="20"/>
              </w:rPr>
              <w:t>0.3</w:t>
            </w:r>
            <w:r w:rsidR="003647E4" w:rsidRPr="00FF13BF">
              <w:rPr>
                <w:color w:val="000000" w:themeColor="text1"/>
                <w:sz w:val="20"/>
                <w:szCs w:val="20"/>
              </w:rPr>
              <w:t>2</w:t>
            </w:r>
            <w:r w:rsidRPr="00FF13BF">
              <w:rPr>
                <w:color w:val="000000" w:themeColor="text1"/>
                <w:sz w:val="20"/>
                <w:szCs w:val="20"/>
              </w:rPr>
              <w:t>0%</w:t>
            </w:r>
          </w:p>
        </w:tc>
      </w:tr>
      <w:tr w:rsidR="00902EB7" w14:paraId="1788080D" w14:textId="45DD7630" w:rsidTr="00B66453">
        <w:tc>
          <w:tcPr>
            <w:tcW w:w="4113" w:type="dxa"/>
          </w:tcPr>
          <w:p w14:paraId="75594B4C" w14:textId="0109C346" w:rsidR="00902EB7" w:rsidRDefault="00902EB7" w:rsidP="00615E3B">
            <w:pPr>
              <w:spacing w:before="60" w:after="60"/>
              <w:ind w:left="0" w:firstLine="0"/>
              <w:rPr>
                <w:sz w:val="20"/>
                <w:szCs w:val="20"/>
              </w:rPr>
            </w:pPr>
            <w:r>
              <w:rPr>
                <w:sz w:val="20"/>
                <w:szCs w:val="20"/>
              </w:rPr>
              <w:t>BlackRock All Stocks Corporate Bond Index</w:t>
            </w:r>
          </w:p>
        </w:tc>
        <w:tc>
          <w:tcPr>
            <w:tcW w:w="1983" w:type="dxa"/>
          </w:tcPr>
          <w:p w14:paraId="7DAAABA6" w14:textId="43A60C2E" w:rsidR="00902EB7" w:rsidRPr="00FF13BF" w:rsidRDefault="00902EB7" w:rsidP="00FD6431">
            <w:pPr>
              <w:spacing w:before="60" w:after="60"/>
              <w:ind w:left="0" w:firstLine="0"/>
              <w:jc w:val="center"/>
              <w:rPr>
                <w:color w:val="000000" w:themeColor="text1"/>
                <w:sz w:val="20"/>
                <w:szCs w:val="20"/>
              </w:rPr>
            </w:pPr>
            <w:r w:rsidRPr="00FF13BF">
              <w:rPr>
                <w:color w:val="000000" w:themeColor="text1"/>
                <w:sz w:val="20"/>
                <w:szCs w:val="20"/>
              </w:rPr>
              <w:t>0.3</w:t>
            </w:r>
            <w:r w:rsidR="006B0E5A" w:rsidRPr="00FF13BF">
              <w:rPr>
                <w:color w:val="000000" w:themeColor="text1"/>
                <w:sz w:val="20"/>
                <w:szCs w:val="20"/>
              </w:rPr>
              <w:t>0</w:t>
            </w:r>
            <w:r w:rsidRPr="00FF13BF">
              <w:rPr>
                <w:color w:val="000000" w:themeColor="text1"/>
                <w:sz w:val="20"/>
                <w:szCs w:val="20"/>
              </w:rPr>
              <w:t>5%</w:t>
            </w:r>
          </w:p>
        </w:tc>
        <w:tc>
          <w:tcPr>
            <w:tcW w:w="1524" w:type="dxa"/>
          </w:tcPr>
          <w:p w14:paraId="772CA795" w14:textId="4755ADF4" w:rsidR="00902EB7" w:rsidRPr="00FF13BF" w:rsidRDefault="005E1835" w:rsidP="00FD6431">
            <w:pPr>
              <w:spacing w:before="60" w:after="60"/>
              <w:ind w:left="0" w:firstLine="0"/>
              <w:jc w:val="center"/>
              <w:rPr>
                <w:color w:val="000000" w:themeColor="text1"/>
                <w:sz w:val="20"/>
                <w:szCs w:val="20"/>
              </w:rPr>
            </w:pPr>
            <w:r w:rsidRPr="00FF13BF">
              <w:rPr>
                <w:color w:val="000000" w:themeColor="text1"/>
                <w:sz w:val="20"/>
                <w:szCs w:val="20"/>
              </w:rPr>
              <w:t>0.000%</w:t>
            </w:r>
          </w:p>
        </w:tc>
        <w:tc>
          <w:tcPr>
            <w:tcW w:w="1743" w:type="dxa"/>
          </w:tcPr>
          <w:p w14:paraId="5C0BE4A1" w14:textId="07C324A4" w:rsidR="00902EB7" w:rsidRPr="00FF13BF" w:rsidRDefault="005E1835" w:rsidP="00FD6431">
            <w:pPr>
              <w:spacing w:before="60" w:after="60"/>
              <w:ind w:left="0" w:firstLine="0"/>
              <w:jc w:val="center"/>
              <w:rPr>
                <w:color w:val="000000" w:themeColor="text1"/>
                <w:sz w:val="20"/>
                <w:szCs w:val="20"/>
              </w:rPr>
            </w:pPr>
            <w:r w:rsidRPr="00FF13BF">
              <w:rPr>
                <w:color w:val="000000" w:themeColor="text1"/>
                <w:sz w:val="20"/>
                <w:szCs w:val="20"/>
              </w:rPr>
              <w:t>0.3</w:t>
            </w:r>
            <w:r w:rsidR="006B0E5A" w:rsidRPr="00FF13BF">
              <w:rPr>
                <w:color w:val="000000" w:themeColor="text1"/>
                <w:sz w:val="20"/>
                <w:szCs w:val="20"/>
              </w:rPr>
              <w:t>0</w:t>
            </w:r>
            <w:r w:rsidRPr="00FF13BF">
              <w:rPr>
                <w:color w:val="000000" w:themeColor="text1"/>
                <w:sz w:val="20"/>
                <w:szCs w:val="20"/>
              </w:rPr>
              <w:t>5%</w:t>
            </w:r>
          </w:p>
        </w:tc>
      </w:tr>
      <w:tr w:rsidR="00902EB7" w14:paraId="21DAEA26" w14:textId="3DB1D56A" w:rsidTr="00B66453">
        <w:tc>
          <w:tcPr>
            <w:tcW w:w="4113" w:type="dxa"/>
          </w:tcPr>
          <w:p w14:paraId="58A9A13B" w14:textId="3EF647ED" w:rsidR="00902EB7" w:rsidRDefault="00902EB7" w:rsidP="00615E3B">
            <w:pPr>
              <w:spacing w:before="60" w:after="60"/>
              <w:ind w:left="0" w:firstLine="0"/>
              <w:rPr>
                <w:sz w:val="20"/>
                <w:szCs w:val="20"/>
              </w:rPr>
            </w:pPr>
            <w:r>
              <w:rPr>
                <w:sz w:val="20"/>
                <w:szCs w:val="20"/>
              </w:rPr>
              <w:t>BlackRock Over 15 Years UK Gilt Index</w:t>
            </w:r>
          </w:p>
        </w:tc>
        <w:tc>
          <w:tcPr>
            <w:tcW w:w="1983" w:type="dxa"/>
          </w:tcPr>
          <w:p w14:paraId="7E9B2B59" w14:textId="0B72F717" w:rsidR="00902EB7" w:rsidRPr="00FF13BF" w:rsidRDefault="00902EB7" w:rsidP="00FD6431">
            <w:pPr>
              <w:spacing w:before="60" w:after="60"/>
              <w:ind w:left="0" w:firstLine="0"/>
              <w:jc w:val="center"/>
              <w:rPr>
                <w:color w:val="000000" w:themeColor="text1"/>
                <w:sz w:val="20"/>
                <w:szCs w:val="20"/>
              </w:rPr>
            </w:pPr>
            <w:r w:rsidRPr="00FF13BF">
              <w:rPr>
                <w:color w:val="000000" w:themeColor="text1"/>
                <w:sz w:val="20"/>
                <w:szCs w:val="20"/>
              </w:rPr>
              <w:t>0.295%</w:t>
            </w:r>
          </w:p>
        </w:tc>
        <w:tc>
          <w:tcPr>
            <w:tcW w:w="1524" w:type="dxa"/>
          </w:tcPr>
          <w:p w14:paraId="6313CFD4" w14:textId="4373BA01" w:rsidR="00902EB7" w:rsidRPr="00FF13BF" w:rsidRDefault="009F7E58" w:rsidP="00FD6431">
            <w:pPr>
              <w:spacing w:before="60" w:after="60"/>
              <w:ind w:left="0" w:firstLine="0"/>
              <w:jc w:val="center"/>
              <w:rPr>
                <w:color w:val="000000" w:themeColor="text1"/>
                <w:sz w:val="20"/>
                <w:szCs w:val="20"/>
              </w:rPr>
            </w:pPr>
            <w:r w:rsidRPr="00FF13BF">
              <w:rPr>
                <w:color w:val="000000" w:themeColor="text1"/>
                <w:sz w:val="20"/>
                <w:szCs w:val="20"/>
              </w:rPr>
              <w:t>0.000%</w:t>
            </w:r>
          </w:p>
        </w:tc>
        <w:tc>
          <w:tcPr>
            <w:tcW w:w="1743" w:type="dxa"/>
          </w:tcPr>
          <w:p w14:paraId="6A5529C8" w14:textId="6D8937D1" w:rsidR="00902EB7" w:rsidRPr="00FF13BF" w:rsidRDefault="009F7E58" w:rsidP="00FD6431">
            <w:pPr>
              <w:spacing w:before="60" w:after="60"/>
              <w:ind w:left="0" w:firstLine="0"/>
              <w:jc w:val="center"/>
              <w:rPr>
                <w:color w:val="000000" w:themeColor="text1"/>
                <w:sz w:val="20"/>
                <w:szCs w:val="20"/>
              </w:rPr>
            </w:pPr>
            <w:r w:rsidRPr="00FF13BF">
              <w:rPr>
                <w:color w:val="000000" w:themeColor="text1"/>
                <w:sz w:val="20"/>
                <w:szCs w:val="20"/>
              </w:rPr>
              <w:t>0.</w:t>
            </w:r>
            <w:r w:rsidR="006B0E5A" w:rsidRPr="00FF13BF">
              <w:rPr>
                <w:color w:val="000000" w:themeColor="text1"/>
                <w:sz w:val="20"/>
                <w:szCs w:val="20"/>
              </w:rPr>
              <w:t>295</w:t>
            </w:r>
            <w:r w:rsidR="00E1674B" w:rsidRPr="00FF13BF">
              <w:rPr>
                <w:color w:val="000000" w:themeColor="text1"/>
                <w:sz w:val="20"/>
                <w:szCs w:val="20"/>
              </w:rPr>
              <w:t>%</w:t>
            </w:r>
          </w:p>
        </w:tc>
      </w:tr>
      <w:tr w:rsidR="00902EB7" w14:paraId="5428DA58" w14:textId="689B57FF" w:rsidTr="00B66453">
        <w:tc>
          <w:tcPr>
            <w:tcW w:w="4113" w:type="dxa"/>
          </w:tcPr>
          <w:p w14:paraId="66556E2C" w14:textId="7E6EF4DB" w:rsidR="00902EB7" w:rsidRDefault="00902EB7" w:rsidP="00615E3B">
            <w:pPr>
              <w:spacing w:before="60" w:after="60"/>
              <w:ind w:left="0" w:firstLine="0"/>
              <w:rPr>
                <w:sz w:val="20"/>
                <w:szCs w:val="20"/>
              </w:rPr>
            </w:pPr>
            <w:r>
              <w:rPr>
                <w:sz w:val="20"/>
                <w:szCs w:val="20"/>
              </w:rPr>
              <w:t>Cash</w:t>
            </w:r>
          </w:p>
        </w:tc>
        <w:tc>
          <w:tcPr>
            <w:tcW w:w="1983" w:type="dxa"/>
          </w:tcPr>
          <w:p w14:paraId="76707AED" w14:textId="35711E3C" w:rsidR="00902EB7" w:rsidRPr="00FF13BF" w:rsidRDefault="00902EB7" w:rsidP="00B9358D">
            <w:pPr>
              <w:spacing w:before="60" w:after="60"/>
              <w:ind w:left="0" w:firstLine="0"/>
              <w:jc w:val="center"/>
              <w:rPr>
                <w:color w:val="000000" w:themeColor="text1"/>
                <w:sz w:val="20"/>
                <w:szCs w:val="20"/>
              </w:rPr>
            </w:pPr>
            <w:r w:rsidRPr="00FF13BF">
              <w:rPr>
                <w:color w:val="000000" w:themeColor="text1"/>
                <w:sz w:val="20"/>
                <w:szCs w:val="20"/>
              </w:rPr>
              <w:t>0.325%</w:t>
            </w:r>
          </w:p>
        </w:tc>
        <w:tc>
          <w:tcPr>
            <w:tcW w:w="1524" w:type="dxa"/>
          </w:tcPr>
          <w:p w14:paraId="22250488" w14:textId="5157D829" w:rsidR="00902EB7" w:rsidRPr="00FF13BF" w:rsidRDefault="00E1674B" w:rsidP="00B9358D">
            <w:pPr>
              <w:spacing w:before="60" w:after="60"/>
              <w:ind w:left="0" w:firstLine="0"/>
              <w:jc w:val="center"/>
              <w:rPr>
                <w:color w:val="000000" w:themeColor="text1"/>
                <w:sz w:val="20"/>
                <w:szCs w:val="20"/>
              </w:rPr>
            </w:pPr>
            <w:r w:rsidRPr="00FF13BF">
              <w:rPr>
                <w:color w:val="000000" w:themeColor="text1"/>
                <w:sz w:val="20"/>
                <w:szCs w:val="20"/>
              </w:rPr>
              <w:t>0.000%</w:t>
            </w:r>
          </w:p>
        </w:tc>
        <w:tc>
          <w:tcPr>
            <w:tcW w:w="1743" w:type="dxa"/>
          </w:tcPr>
          <w:p w14:paraId="2A8BBA9D" w14:textId="56F01061" w:rsidR="00902EB7" w:rsidRPr="00FF13BF" w:rsidRDefault="00E1674B" w:rsidP="00B9358D">
            <w:pPr>
              <w:spacing w:before="60" w:after="60"/>
              <w:ind w:left="0" w:firstLine="0"/>
              <w:jc w:val="center"/>
              <w:rPr>
                <w:color w:val="000000" w:themeColor="text1"/>
                <w:sz w:val="20"/>
                <w:szCs w:val="20"/>
              </w:rPr>
            </w:pPr>
            <w:r w:rsidRPr="00FF13BF">
              <w:rPr>
                <w:color w:val="000000" w:themeColor="text1"/>
                <w:sz w:val="20"/>
                <w:szCs w:val="20"/>
              </w:rPr>
              <w:t>0.325%</w:t>
            </w:r>
          </w:p>
        </w:tc>
      </w:tr>
    </w:tbl>
    <w:p w14:paraId="18409399" w14:textId="1D8A9A70" w:rsidR="009F6E83" w:rsidRPr="00E42809" w:rsidRDefault="009F6E83" w:rsidP="002678AB">
      <w:pPr>
        <w:ind w:left="0" w:firstLine="0"/>
        <w:rPr>
          <w:sz w:val="16"/>
          <w:szCs w:val="16"/>
        </w:rPr>
      </w:pPr>
    </w:p>
    <w:p w14:paraId="22523257" w14:textId="41BDBEF7" w:rsidR="0098679F" w:rsidRDefault="00C32515" w:rsidP="00EF0E1B">
      <w:pPr>
        <w:ind w:left="0" w:firstLine="0"/>
        <w:jc w:val="both"/>
        <w:rPr>
          <w:sz w:val="20"/>
          <w:szCs w:val="20"/>
        </w:rPr>
      </w:pPr>
      <w:r>
        <w:rPr>
          <w:sz w:val="20"/>
          <w:szCs w:val="20"/>
        </w:rPr>
        <w:t>T</w:t>
      </w:r>
      <w:r w:rsidR="00562AA3">
        <w:rPr>
          <w:sz w:val="20"/>
          <w:szCs w:val="20"/>
        </w:rPr>
        <w:t xml:space="preserve">he above funds are used </w:t>
      </w:r>
      <w:r w:rsidR="00CF2A2E">
        <w:rPr>
          <w:sz w:val="20"/>
          <w:szCs w:val="20"/>
        </w:rPr>
        <w:t>in</w:t>
      </w:r>
      <w:r w:rsidR="00562AA3">
        <w:rPr>
          <w:sz w:val="20"/>
          <w:szCs w:val="20"/>
        </w:rPr>
        <w:t xml:space="preserve"> </w:t>
      </w:r>
      <w:r w:rsidR="00E8638F">
        <w:rPr>
          <w:sz w:val="20"/>
          <w:szCs w:val="20"/>
        </w:rPr>
        <w:t>the</w:t>
      </w:r>
      <w:r w:rsidR="00562AA3">
        <w:rPr>
          <w:sz w:val="20"/>
          <w:szCs w:val="20"/>
        </w:rPr>
        <w:t xml:space="preserve"> </w:t>
      </w:r>
      <w:r w:rsidR="00CF2A2E">
        <w:rPr>
          <w:sz w:val="20"/>
          <w:szCs w:val="20"/>
        </w:rPr>
        <w:t>‘</w:t>
      </w:r>
      <w:r w:rsidR="00562AA3">
        <w:rPr>
          <w:sz w:val="20"/>
          <w:szCs w:val="20"/>
        </w:rPr>
        <w:t xml:space="preserve">lifestyle </w:t>
      </w:r>
      <w:r w:rsidR="00CF2A2E">
        <w:rPr>
          <w:sz w:val="20"/>
          <w:szCs w:val="20"/>
        </w:rPr>
        <w:t xml:space="preserve">investment </w:t>
      </w:r>
      <w:r w:rsidR="00562AA3">
        <w:rPr>
          <w:sz w:val="20"/>
          <w:szCs w:val="20"/>
        </w:rPr>
        <w:t>strategy</w:t>
      </w:r>
      <w:r w:rsidR="00CF2A2E">
        <w:rPr>
          <w:sz w:val="20"/>
          <w:szCs w:val="20"/>
        </w:rPr>
        <w:t xml:space="preserve">’.  This means that </w:t>
      </w:r>
      <w:r w:rsidR="00150133">
        <w:rPr>
          <w:sz w:val="20"/>
          <w:szCs w:val="20"/>
        </w:rPr>
        <w:t>while a member is more than 10 years from retirement, they are entirely invested in the</w:t>
      </w:r>
      <w:r w:rsidR="006A0B2D">
        <w:rPr>
          <w:sz w:val="20"/>
          <w:szCs w:val="20"/>
        </w:rPr>
        <w:t xml:space="preserve"> </w:t>
      </w:r>
      <w:r w:rsidR="00150133">
        <w:rPr>
          <w:sz w:val="20"/>
          <w:szCs w:val="20"/>
        </w:rPr>
        <w:t xml:space="preserve">Dynamic </w:t>
      </w:r>
      <w:r w:rsidR="00532F49">
        <w:rPr>
          <w:sz w:val="20"/>
          <w:szCs w:val="20"/>
        </w:rPr>
        <w:t xml:space="preserve">Global Equity Passive fund.  </w:t>
      </w:r>
      <w:r w:rsidR="00656959">
        <w:rPr>
          <w:sz w:val="20"/>
          <w:szCs w:val="20"/>
        </w:rPr>
        <w:t>T</w:t>
      </w:r>
      <w:r w:rsidR="00532F49">
        <w:rPr>
          <w:sz w:val="20"/>
          <w:szCs w:val="20"/>
        </w:rPr>
        <w:t>hen</w:t>
      </w:r>
      <w:r w:rsidR="00656959">
        <w:rPr>
          <w:sz w:val="20"/>
          <w:szCs w:val="20"/>
        </w:rPr>
        <w:t xml:space="preserve">, during the 10 years leading up to their retirement, a member’s investments are </w:t>
      </w:r>
      <w:r w:rsidR="00B37CB6">
        <w:rPr>
          <w:sz w:val="20"/>
          <w:szCs w:val="20"/>
        </w:rPr>
        <w:t>g</w:t>
      </w:r>
      <w:r w:rsidR="00656959">
        <w:rPr>
          <w:sz w:val="20"/>
          <w:szCs w:val="20"/>
        </w:rPr>
        <w:t>r</w:t>
      </w:r>
      <w:r w:rsidR="00B37CB6">
        <w:rPr>
          <w:sz w:val="20"/>
          <w:szCs w:val="20"/>
        </w:rPr>
        <w:t xml:space="preserve">adually switched out of the </w:t>
      </w:r>
      <w:r w:rsidR="00767299">
        <w:rPr>
          <w:sz w:val="20"/>
          <w:szCs w:val="20"/>
        </w:rPr>
        <w:t xml:space="preserve">Dynamic Global Equity Passive fund into a combination of the BlackRock All Stocks Corporate Bond Index fund, the BlackRock Over 15 Years UK Gilt Index fund and the Cash fund.  </w:t>
      </w:r>
    </w:p>
    <w:p w14:paraId="341E5FD4" w14:textId="44967850" w:rsidR="00C5316C" w:rsidRDefault="00767299" w:rsidP="00EF0E1B">
      <w:pPr>
        <w:ind w:left="0" w:firstLine="0"/>
        <w:jc w:val="both"/>
        <w:rPr>
          <w:sz w:val="20"/>
          <w:szCs w:val="20"/>
        </w:rPr>
      </w:pPr>
      <w:r>
        <w:rPr>
          <w:sz w:val="20"/>
          <w:szCs w:val="20"/>
        </w:rPr>
        <w:t xml:space="preserve">This </w:t>
      </w:r>
      <w:r w:rsidR="0098679F">
        <w:rPr>
          <w:sz w:val="20"/>
          <w:szCs w:val="20"/>
        </w:rPr>
        <w:t xml:space="preserve">above </w:t>
      </w:r>
      <w:r>
        <w:rPr>
          <w:sz w:val="20"/>
          <w:szCs w:val="20"/>
        </w:rPr>
        <w:t xml:space="preserve">means that the annual </w:t>
      </w:r>
      <w:r w:rsidR="00043AE6">
        <w:rPr>
          <w:sz w:val="20"/>
          <w:szCs w:val="20"/>
        </w:rPr>
        <w:t>charge paid by member</w:t>
      </w:r>
      <w:r w:rsidR="00832FD8">
        <w:rPr>
          <w:sz w:val="20"/>
          <w:szCs w:val="20"/>
        </w:rPr>
        <w:t>s</w:t>
      </w:r>
      <w:r w:rsidR="00043AE6">
        <w:rPr>
          <w:sz w:val="20"/>
          <w:szCs w:val="20"/>
        </w:rPr>
        <w:t xml:space="preserve"> var</w:t>
      </w:r>
      <w:r w:rsidR="00556815">
        <w:rPr>
          <w:sz w:val="20"/>
          <w:szCs w:val="20"/>
        </w:rPr>
        <w:t>ies</w:t>
      </w:r>
      <w:r w:rsidR="00043AE6">
        <w:rPr>
          <w:sz w:val="20"/>
          <w:szCs w:val="20"/>
        </w:rPr>
        <w:t xml:space="preserve"> overtime</w:t>
      </w:r>
      <w:r w:rsidR="00CC6ACE">
        <w:rPr>
          <w:sz w:val="20"/>
          <w:szCs w:val="20"/>
        </w:rPr>
        <w:t xml:space="preserve"> depending on their proximity to retirement</w:t>
      </w:r>
      <w:r w:rsidR="00043AE6">
        <w:rPr>
          <w:sz w:val="20"/>
          <w:szCs w:val="20"/>
        </w:rPr>
        <w:t xml:space="preserve"> </w:t>
      </w:r>
      <w:r w:rsidR="005D1CD5">
        <w:rPr>
          <w:sz w:val="20"/>
          <w:szCs w:val="20"/>
        </w:rPr>
        <w:t>as follows:</w:t>
      </w:r>
    </w:p>
    <w:p w14:paraId="40CD1076" w14:textId="0119189E" w:rsidR="005D1CD5" w:rsidRPr="00B66678" w:rsidRDefault="005D1CD5" w:rsidP="00405D75">
      <w:pPr>
        <w:pStyle w:val="ListParagraph"/>
        <w:widowControl w:val="0"/>
        <w:numPr>
          <w:ilvl w:val="0"/>
          <w:numId w:val="38"/>
        </w:numPr>
        <w:tabs>
          <w:tab w:val="left" w:pos="629"/>
          <w:tab w:val="left" w:pos="631"/>
        </w:tabs>
        <w:autoSpaceDE w:val="0"/>
        <w:autoSpaceDN w:val="0"/>
        <w:spacing w:before="0"/>
        <w:ind w:left="357" w:hanging="357"/>
        <w:jc w:val="both"/>
        <w:rPr>
          <w:color w:val="000000" w:themeColor="text1"/>
          <w:sz w:val="20"/>
        </w:rPr>
      </w:pPr>
      <w:r w:rsidRPr="00B66678">
        <w:rPr>
          <w:color w:val="000000" w:themeColor="text1"/>
          <w:sz w:val="20"/>
        </w:rPr>
        <w:t xml:space="preserve">The </w:t>
      </w:r>
      <w:r w:rsidR="00A83876" w:rsidRPr="00B66678">
        <w:rPr>
          <w:color w:val="000000" w:themeColor="text1"/>
          <w:sz w:val="20"/>
        </w:rPr>
        <w:t>TER</w:t>
      </w:r>
      <w:r w:rsidR="00D046D3" w:rsidRPr="00B66678">
        <w:rPr>
          <w:color w:val="000000" w:themeColor="text1"/>
          <w:sz w:val="20"/>
        </w:rPr>
        <w:t xml:space="preserve"> i</w:t>
      </w:r>
      <w:r w:rsidRPr="00B66678">
        <w:rPr>
          <w:color w:val="000000" w:themeColor="text1"/>
          <w:sz w:val="20"/>
        </w:rPr>
        <w:t>s 0.</w:t>
      </w:r>
      <w:r w:rsidR="000740C4" w:rsidRPr="00B66678">
        <w:rPr>
          <w:color w:val="000000" w:themeColor="text1"/>
          <w:sz w:val="20"/>
        </w:rPr>
        <w:t>3</w:t>
      </w:r>
      <w:r w:rsidR="0021214D" w:rsidRPr="00B66678">
        <w:rPr>
          <w:color w:val="000000" w:themeColor="text1"/>
          <w:sz w:val="20"/>
        </w:rPr>
        <w:t>2</w:t>
      </w:r>
      <w:r w:rsidR="00F70EEF" w:rsidRPr="00B66678">
        <w:rPr>
          <w:color w:val="000000" w:themeColor="text1"/>
          <w:sz w:val="20"/>
        </w:rPr>
        <w:t>0</w:t>
      </w:r>
      <w:r w:rsidRPr="00B66678">
        <w:rPr>
          <w:color w:val="000000" w:themeColor="text1"/>
          <w:sz w:val="20"/>
        </w:rPr>
        <w:t>% whil</w:t>
      </w:r>
      <w:r w:rsidR="00B30252" w:rsidRPr="00B66678">
        <w:rPr>
          <w:color w:val="000000" w:themeColor="text1"/>
          <w:sz w:val="20"/>
        </w:rPr>
        <w:t>e</w:t>
      </w:r>
      <w:r w:rsidRPr="00B66678">
        <w:rPr>
          <w:color w:val="000000" w:themeColor="text1"/>
          <w:sz w:val="20"/>
        </w:rPr>
        <w:t xml:space="preserve"> a member </w:t>
      </w:r>
      <w:r w:rsidR="00556815" w:rsidRPr="00B66678">
        <w:rPr>
          <w:color w:val="000000" w:themeColor="text1"/>
          <w:sz w:val="20"/>
        </w:rPr>
        <w:t>is</w:t>
      </w:r>
      <w:r w:rsidR="000651D6" w:rsidRPr="00B66678">
        <w:rPr>
          <w:color w:val="000000" w:themeColor="text1"/>
          <w:sz w:val="20"/>
        </w:rPr>
        <w:t xml:space="preserve"> </w:t>
      </w:r>
      <w:r w:rsidR="00556815" w:rsidRPr="00B66678">
        <w:rPr>
          <w:color w:val="000000" w:themeColor="text1"/>
          <w:sz w:val="20"/>
        </w:rPr>
        <w:t>1</w:t>
      </w:r>
      <w:r w:rsidRPr="00B66678">
        <w:rPr>
          <w:color w:val="000000" w:themeColor="text1"/>
          <w:sz w:val="20"/>
        </w:rPr>
        <w:t>0 years</w:t>
      </w:r>
      <w:r w:rsidR="000651D6" w:rsidRPr="00B66678">
        <w:rPr>
          <w:color w:val="000000" w:themeColor="text1"/>
          <w:sz w:val="20"/>
        </w:rPr>
        <w:t xml:space="preserve"> or more</w:t>
      </w:r>
      <w:r w:rsidRPr="00B66678">
        <w:rPr>
          <w:color w:val="000000" w:themeColor="text1"/>
          <w:sz w:val="20"/>
        </w:rPr>
        <w:t xml:space="preserve"> from</w:t>
      </w:r>
      <w:r w:rsidRPr="00B66678">
        <w:rPr>
          <w:color w:val="000000" w:themeColor="text1"/>
          <w:spacing w:val="-6"/>
          <w:sz w:val="20"/>
        </w:rPr>
        <w:t xml:space="preserve"> </w:t>
      </w:r>
      <w:r w:rsidRPr="00B66678">
        <w:rPr>
          <w:color w:val="000000" w:themeColor="text1"/>
          <w:sz w:val="20"/>
        </w:rPr>
        <w:t>retirement</w:t>
      </w:r>
      <w:r w:rsidR="00D046D3" w:rsidRPr="00B66678">
        <w:rPr>
          <w:color w:val="000000" w:themeColor="text1"/>
          <w:sz w:val="20"/>
        </w:rPr>
        <w:t>;</w:t>
      </w:r>
    </w:p>
    <w:p w14:paraId="33A44A8F" w14:textId="08770CC5" w:rsidR="005D1CD5" w:rsidRPr="00B66678" w:rsidRDefault="0019024E" w:rsidP="00405D75">
      <w:pPr>
        <w:pStyle w:val="ListParagraph"/>
        <w:numPr>
          <w:ilvl w:val="0"/>
          <w:numId w:val="38"/>
        </w:numPr>
        <w:ind w:left="357" w:hanging="357"/>
        <w:jc w:val="both"/>
        <w:rPr>
          <w:color w:val="000000" w:themeColor="text1"/>
          <w:sz w:val="20"/>
          <w:szCs w:val="20"/>
        </w:rPr>
      </w:pPr>
      <w:r w:rsidRPr="00B66678">
        <w:rPr>
          <w:color w:val="000000" w:themeColor="text1"/>
          <w:sz w:val="20"/>
        </w:rPr>
        <w:lastRenderedPageBreak/>
        <w:t xml:space="preserve">The </w:t>
      </w:r>
      <w:r w:rsidR="00A83876" w:rsidRPr="00B66678">
        <w:rPr>
          <w:color w:val="000000" w:themeColor="text1"/>
          <w:sz w:val="20"/>
        </w:rPr>
        <w:t>TER</w:t>
      </w:r>
      <w:r w:rsidRPr="00B66678">
        <w:rPr>
          <w:color w:val="000000" w:themeColor="text1"/>
          <w:sz w:val="20"/>
        </w:rPr>
        <w:t xml:space="preserve"> r</w:t>
      </w:r>
      <w:r w:rsidR="0058111B" w:rsidRPr="00B66678">
        <w:rPr>
          <w:color w:val="000000" w:themeColor="text1"/>
          <w:sz w:val="20"/>
        </w:rPr>
        <w:t>educ</w:t>
      </w:r>
      <w:r w:rsidR="005D1CD5" w:rsidRPr="00B66678">
        <w:rPr>
          <w:color w:val="000000" w:themeColor="text1"/>
          <w:sz w:val="20"/>
        </w:rPr>
        <w:t>e</w:t>
      </w:r>
      <w:r w:rsidRPr="00B66678">
        <w:rPr>
          <w:color w:val="000000" w:themeColor="text1"/>
          <w:sz w:val="20"/>
        </w:rPr>
        <w:t>s</w:t>
      </w:r>
      <w:r w:rsidR="005D1CD5" w:rsidRPr="00B66678">
        <w:rPr>
          <w:color w:val="000000" w:themeColor="text1"/>
          <w:sz w:val="20"/>
        </w:rPr>
        <w:t xml:space="preserve"> from 0.</w:t>
      </w:r>
      <w:r w:rsidR="00160F44" w:rsidRPr="00B66678">
        <w:rPr>
          <w:color w:val="000000" w:themeColor="text1"/>
          <w:sz w:val="20"/>
        </w:rPr>
        <w:t>3</w:t>
      </w:r>
      <w:r w:rsidR="000A6616" w:rsidRPr="00B66678">
        <w:rPr>
          <w:color w:val="000000" w:themeColor="text1"/>
          <w:sz w:val="20"/>
        </w:rPr>
        <w:t>2</w:t>
      </w:r>
      <w:r w:rsidR="0058111B" w:rsidRPr="00B66678">
        <w:rPr>
          <w:color w:val="000000" w:themeColor="text1"/>
          <w:sz w:val="20"/>
        </w:rPr>
        <w:t>0</w:t>
      </w:r>
      <w:r w:rsidR="005D1CD5" w:rsidRPr="00B66678">
        <w:rPr>
          <w:color w:val="000000" w:themeColor="text1"/>
          <w:sz w:val="20"/>
        </w:rPr>
        <w:t>% to 0.</w:t>
      </w:r>
      <w:r w:rsidR="00BB7D34" w:rsidRPr="00B66678">
        <w:rPr>
          <w:color w:val="000000" w:themeColor="text1"/>
          <w:sz w:val="20"/>
        </w:rPr>
        <w:t>3</w:t>
      </w:r>
      <w:r w:rsidR="0005060C" w:rsidRPr="00B66678">
        <w:rPr>
          <w:color w:val="000000" w:themeColor="text1"/>
          <w:sz w:val="20"/>
        </w:rPr>
        <w:t>06</w:t>
      </w:r>
      <w:r w:rsidR="005D1CD5" w:rsidRPr="00B66678">
        <w:rPr>
          <w:color w:val="000000" w:themeColor="text1"/>
          <w:sz w:val="20"/>
        </w:rPr>
        <w:t xml:space="preserve">% </w:t>
      </w:r>
      <w:r w:rsidR="000D13B4" w:rsidRPr="00B66678">
        <w:rPr>
          <w:color w:val="000000" w:themeColor="text1"/>
          <w:sz w:val="20"/>
        </w:rPr>
        <w:t>during the</w:t>
      </w:r>
      <w:r w:rsidR="005D1CD5" w:rsidRPr="00B66678">
        <w:rPr>
          <w:color w:val="000000" w:themeColor="text1"/>
          <w:sz w:val="20"/>
        </w:rPr>
        <w:t xml:space="preserve"> 10 years </w:t>
      </w:r>
      <w:r w:rsidR="00CC57DA" w:rsidRPr="00B66678">
        <w:rPr>
          <w:color w:val="000000" w:themeColor="text1"/>
          <w:sz w:val="20"/>
        </w:rPr>
        <w:t>immediately before a member</w:t>
      </w:r>
      <w:r w:rsidR="005D1CD5" w:rsidRPr="00B66678">
        <w:rPr>
          <w:color w:val="000000" w:themeColor="text1"/>
          <w:spacing w:val="-25"/>
          <w:sz w:val="20"/>
        </w:rPr>
        <w:t xml:space="preserve"> </w:t>
      </w:r>
      <w:r w:rsidR="005D1CD5" w:rsidRPr="00B66678">
        <w:rPr>
          <w:color w:val="000000" w:themeColor="text1"/>
          <w:sz w:val="20"/>
        </w:rPr>
        <w:t>retire</w:t>
      </w:r>
      <w:r w:rsidR="00CC57DA" w:rsidRPr="00B66678">
        <w:rPr>
          <w:color w:val="000000" w:themeColor="text1"/>
          <w:sz w:val="20"/>
        </w:rPr>
        <w:t>s</w:t>
      </w:r>
      <w:r w:rsidR="00D046D3" w:rsidRPr="00B66678">
        <w:rPr>
          <w:color w:val="000000" w:themeColor="text1"/>
          <w:sz w:val="20"/>
        </w:rPr>
        <w:t>.</w:t>
      </w:r>
    </w:p>
    <w:p w14:paraId="662C6BC2" w14:textId="6F0680D9" w:rsidR="0099099B" w:rsidRDefault="0099099B" w:rsidP="00CC45B0">
      <w:pPr>
        <w:spacing w:after="240"/>
        <w:ind w:left="0" w:firstLine="0"/>
        <w:jc w:val="both"/>
        <w:rPr>
          <w:sz w:val="20"/>
          <w:szCs w:val="20"/>
        </w:rPr>
      </w:pPr>
      <w:r>
        <w:rPr>
          <w:sz w:val="20"/>
          <w:szCs w:val="20"/>
        </w:rPr>
        <w:t>In addition, members in policy M028 can in</w:t>
      </w:r>
      <w:r w:rsidR="00CC45B0">
        <w:rPr>
          <w:sz w:val="20"/>
          <w:szCs w:val="20"/>
        </w:rPr>
        <w:t>vest in the following funds:</w:t>
      </w:r>
    </w:p>
    <w:tbl>
      <w:tblPr>
        <w:tblStyle w:val="TableGrid"/>
        <w:tblW w:w="0" w:type="auto"/>
        <w:tblInd w:w="-5" w:type="dxa"/>
        <w:tblLook w:val="04A0" w:firstRow="1" w:lastRow="0" w:firstColumn="1" w:lastColumn="0" w:noHBand="0" w:noVBand="1"/>
      </w:tblPr>
      <w:tblGrid>
        <w:gridCol w:w="3828"/>
        <w:gridCol w:w="2126"/>
        <w:gridCol w:w="1529"/>
        <w:gridCol w:w="1880"/>
      </w:tblGrid>
      <w:tr w:rsidR="00AE6E1B" w14:paraId="7554D835" w14:textId="77777777" w:rsidTr="007174C2">
        <w:tc>
          <w:tcPr>
            <w:tcW w:w="3828" w:type="dxa"/>
            <w:shd w:val="clear" w:color="auto" w:fill="BFBFBF" w:themeFill="background1" w:themeFillShade="BF"/>
          </w:tcPr>
          <w:p w14:paraId="55A74A0C" w14:textId="77777777" w:rsidR="00AE6E1B" w:rsidRPr="005878DE" w:rsidRDefault="00AE6E1B" w:rsidP="005D4764">
            <w:pPr>
              <w:ind w:left="0" w:firstLine="0"/>
              <w:rPr>
                <w:b/>
                <w:bCs/>
                <w:sz w:val="20"/>
                <w:szCs w:val="20"/>
              </w:rPr>
            </w:pPr>
            <w:r w:rsidRPr="005878DE">
              <w:rPr>
                <w:b/>
                <w:bCs/>
                <w:sz w:val="20"/>
                <w:szCs w:val="20"/>
              </w:rPr>
              <w:t>Prudential Fund</w:t>
            </w:r>
          </w:p>
        </w:tc>
        <w:tc>
          <w:tcPr>
            <w:tcW w:w="2126" w:type="dxa"/>
            <w:shd w:val="clear" w:color="auto" w:fill="BFBFBF" w:themeFill="background1" w:themeFillShade="BF"/>
          </w:tcPr>
          <w:p w14:paraId="0DD09E3B" w14:textId="77777777" w:rsidR="00AE6E1B" w:rsidRPr="005878DE" w:rsidRDefault="00AE6E1B" w:rsidP="005D4764">
            <w:pPr>
              <w:ind w:left="0" w:firstLine="0"/>
              <w:jc w:val="center"/>
              <w:rPr>
                <w:b/>
                <w:bCs/>
                <w:sz w:val="20"/>
                <w:szCs w:val="20"/>
              </w:rPr>
            </w:pPr>
            <w:r w:rsidRPr="005878DE">
              <w:rPr>
                <w:b/>
                <w:bCs/>
                <w:sz w:val="20"/>
                <w:szCs w:val="20"/>
              </w:rPr>
              <w:t>Annual Management Charge (AMC)</w:t>
            </w:r>
          </w:p>
        </w:tc>
        <w:tc>
          <w:tcPr>
            <w:tcW w:w="1529" w:type="dxa"/>
            <w:shd w:val="clear" w:color="auto" w:fill="BFBFBF" w:themeFill="background1" w:themeFillShade="BF"/>
          </w:tcPr>
          <w:p w14:paraId="7F2D0998" w14:textId="77777777" w:rsidR="003774B5" w:rsidRPr="005878DE" w:rsidRDefault="00AE6E1B" w:rsidP="003774B5">
            <w:pPr>
              <w:spacing w:after="0"/>
              <w:ind w:left="0" w:firstLine="0"/>
              <w:jc w:val="center"/>
              <w:rPr>
                <w:b/>
                <w:bCs/>
                <w:sz w:val="20"/>
                <w:szCs w:val="20"/>
              </w:rPr>
            </w:pPr>
            <w:r w:rsidRPr="005878DE">
              <w:rPr>
                <w:b/>
                <w:bCs/>
                <w:sz w:val="20"/>
                <w:szCs w:val="20"/>
              </w:rPr>
              <w:t>Additional</w:t>
            </w:r>
          </w:p>
          <w:p w14:paraId="1752F82E" w14:textId="2E293D9A" w:rsidR="00AE6E1B" w:rsidRPr="005878DE" w:rsidRDefault="00AE6E1B" w:rsidP="003774B5">
            <w:pPr>
              <w:spacing w:before="0"/>
              <w:ind w:left="0" w:firstLine="0"/>
              <w:jc w:val="center"/>
              <w:rPr>
                <w:b/>
                <w:bCs/>
                <w:sz w:val="20"/>
                <w:szCs w:val="20"/>
              </w:rPr>
            </w:pPr>
            <w:r w:rsidRPr="005878DE">
              <w:rPr>
                <w:b/>
                <w:bCs/>
                <w:sz w:val="20"/>
                <w:szCs w:val="20"/>
              </w:rPr>
              <w:t>Expenses</w:t>
            </w:r>
          </w:p>
        </w:tc>
        <w:tc>
          <w:tcPr>
            <w:tcW w:w="1880" w:type="dxa"/>
            <w:shd w:val="clear" w:color="auto" w:fill="BFBFBF" w:themeFill="background1" w:themeFillShade="BF"/>
          </w:tcPr>
          <w:p w14:paraId="6507BFC5" w14:textId="77777777" w:rsidR="00AE6E1B" w:rsidRPr="005878DE" w:rsidRDefault="00AE6E1B" w:rsidP="005D4764">
            <w:pPr>
              <w:ind w:left="0" w:firstLine="0"/>
              <w:jc w:val="center"/>
              <w:rPr>
                <w:b/>
                <w:bCs/>
                <w:sz w:val="20"/>
                <w:szCs w:val="20"/>
              </w:rPr>
            </w:pPr>
            <w:r w:rsidRPr="005878DE">
              <w:rPr>
                <w:b/>
                <w:bCs/>
                <w:sz w:val="20"/>
                <w:szCs w:val="20"/>
              </w:rPr>
              <w:t>Total Expense Ratio (TER)</w:t>
            </w:r>
          </w:p>
        </w:tc>
      </w:tr>
      <w:tr w:rsidR="00AE6E1B" w14:paraId="15D2AD44" w14:textId="77777777" w:rsidTr="007174C2">
        <w:tc>
          <w:tcPr>
            <w:tcW w:w="3828" w:type="dxa"/>
          </w:tcPr>
          <w:p w14:paraId="52F75BD2" w14:textId="2127E54B" w:rsidR="00AE6E1B" w:rsidRPr="00DB7F7A" w:rsidRDefault="00AE6E1B" w:rsidP="005D4764">
            <w:pPr>
              <w:spacing w:before="60" w:after="60"/>
              <w:ind w:left="0" w:firstLine="0"/>
              <w:rPr>
                <w:color w:val="000000" w:themeColor="text1"/>
                <w:sz w:val="20"/>
                <w:szCs w:val="20"/>
              </w:rPr>
            </w:pPr>
            <w:r w:rsidRPr="00DB7F7A">
              <w:rPr>
                <w:color w:val="000000" w:themeColor="text1"/>
                <w:sz w:val="20"/>
                <w:szCs w:val="20"/>
              </w:rPr>
              <w:t>BlackRock UK Equity Index</w:t>
            </w:r>
          </w:p>
        </w:tc>
        <w:tc>
          <w:tcPr>
            <w:tcW w:w="2126" w:type="dxa"/>
          </w:tcPr>
          <w:p w14:paraId="768A56C9" w14:textId="32CED802" w:rsidR="00AE6E1B" w:rsidRPr="00975826" w:rsidRDefault="00AE6E1B" w:rsidP="005D4764">
            <w:pPr>
              <w:spacing w:before="60" w:after="60"/>
              <w:ind w:left="0" w:firstLine="0"/>
              <w:jc w:val="center"/>
              <w:rPr>
                <w:color w:val="000000" w:themeColor="text1"/>
                <w:sz w:val="20"/>
                <w:szCs w:val="20"/>
              </w:rPr>
            </w:pPr>
            <w:r w:rsidRPr="00975826">
              <w:rPr>
                <w:color w:val="000000" w:themeColor="text1"/>
                <w:sz w:val="20"/>
                <w:szCs w:val="20"/>
              </w:rPr>
              <w:t>0.</w:t>
            </w:r>
            <w:r w:rsidR="006B15AA" w:rsidRPr="00975826">
              <w:rPr>
                <w:color w:val="000000" w:themeColor="text1"/>
                <w:sz w:val="20"/>
                <w:szCs w:val="20"/>
              </w:rPr>
              <w:t>295</w:t>
            </w:r>
            <w:r w:rsidRPr="00975826">
              <w:rPr>
                <w:color w:val="000000" w:themeColor="text1"/>
                <w:sz w:val="20"/>
                <w:szCs w:val="20"/>
              </w:rPr>
              <w:t>%</w:t>
            </w:r>
          </w:p>
        </w:tc>
        <w:tc>
          <w:tcPr>
            <w:tcW w:w="1529" w:type="dxa"/>
          </w:tcPr>
          <w:p w14:paraId="34305282" w14:textId="214DD64D" w:rsidR="00AE6E1B" w:rsidRPr="00975826" w:rsidRDefault="00AE6E1B" w:rsidP="005D4764">
            <w:pPr>
              <w:spacing w:before="60" w:after="60"/>
              <w:ind w:left="0" w:firstLine="0"/>
              <w:jc w:val="center"/>
              <w:rPr>
                <w:color w:val="000000" w:themeColor="text1"/>
                <w:sz w:val="20"/>
                <w:szCs w:val="20"/>
              </w:rPr>
            </w:pPr>
            <w:r w:rsidRPr="00975826">
              <w:rPr>
                <w:color w:val="000000" w:themeColor="text1"/>
                <w:sz w:val="20"/>
                <w:szCs w:val="20"/>
              </w:rPr>
              <w:t>0.0</w:t>
            </w:r>
            <w:r w:rsidR="006B15AA" w:rsidRPr="00975826">
              <w:rPr>
                <w:color w:val="000000" w:themeColor="text1"/>
                <w:sz w:val="20"/>
                <w:szCs w:val="20"/>
              </w:rPr>
              <w:t>0</w:t>
            </w:r>
            <w:r w:rsidRPr="00975826">
              <w:rPr>
                <w:color w:val="000000" w:themeColor="text1"/>
                <w:sz w:val="20"/>
                <w:szCs w:val="20"/>
              </w:rPr>
              <w:t>0%</w:t>
            </w:r>
          </w:p>
        </w:tc>
        <w:tc>
          <w:tcPr>
            <w:tcW w:w="1880" w:type="dxa"/>
          </w:tcPr>
          <w:p w14:paraId="3CDA17DF" w14:textId="34C65E90" w:rsidR="00AE6E1B" w:rsidRPr="00975826" w:rsidRDefault="00AE6E1B" w:rsidP="005D4764">
            <w:pPr>
              <w:spacing w:before="60" w:after="60"/>
              <w:ind w:left="0" w:firstLine="0"/>
              <w:jc w:val="center"/>
              <w:rPr>
                <w:color w:val="000000" w:themeColor="text1"/>
                <w:sz w:val="20"/>
                <w:szCs w:val="20"/>
              </w:rPr>
            </w:pPr>
            <w:r w:rsidRPr="00975826">
              <w:rPr>
                <w:color w:val="000000" w:themeColor="text1"/>
                <w:sz w:val="20"/>
                <w:szCs w:val="20"/>
              </w:rPr>
              <w:t>0.</w:t>
            </w:r>
            <w:r w:rsidR="002D4732" w:rsidRPr="00975826">
              <w:rPr>
                <w:color w:val="000000" w:themeColor="text1"/>
                <w:sz w:val="20"/>
                <w:szCs w:val="20"/>
              </w:rPr>
              <w:t>295</w:t>
            </w:r>
            <w:r w:rsidRPr="00975826">
              <w:rPr>
                <w:color w:val="000000" w:themeColor="text1"/>
                <w:sz w:val="20"/>
                <w:szCs w:val="20"/>
              </w:rPr>
              <w:t>%</w:t>
            </w:r>
          </w:p>
        </w:tc>
      </w:tr>
      <w:tr w:rsidR="00AE6E1B" w14:paraId="5E6AD214" w14:textId="77777777" w:rsidTr="007174C2">
        <w:tc>
          <w:tcPr>
            <w:tcW w:w="3828" w:type="dxa"/>
          </w:tcPr>
          <w:p w14:paraId="4E4DC8B8" w14:textId="7E4832E6" w:rsidR="00AE6E1B" w:rsidRPr="00DB7F7A" w:rsidRDefault="00AE6E1B" w:rsidP="005D4764">
            <w:pPr>
              <w:spacing w:before="60" w:after="60"/>
              <w:ind w:left="0" w:firstLine="0"/>
              <w:rPr>
                <w:color w:val="000000" w:themeColor="text1"/>
                <w:sz w:val="20"/>
                <w:szCs w:val="20"/>
              </w:rPr>
            </w:pPr>
            <w:r w:rsidRPr="00DB7F7A">
              <w:rPr>
                <w:color w:val="000000" w:themeColor="text1"/>
                <w:sz w:val="20"/>
                <w:szCs w:val="20"/>
              </w:rPr>
              <w:t xml:space="preserve">BlackRock </w:t>
            </w:r>
            <w:r w:rsidR="00D27B6B" w:rsidRPr="00DB7F7A">
              <w:rPr>
                <w:color w:val="000000" w:themeColor="text1"/>
                <w:sz w:val="20"/>
                <w:szCs w:val="20"/>
              </w:rPr>
              <w:t>World ex-UK Equity Index</w:t>
            </w:r>
          </w:p>
        </w:tc>
        <w:tc>
          <w:tcPr>
            <w:tcW w:w="2126" w:type="dxa"/>
          </w:tcPr>
          <w:p w14:paraId="191A0B78" w14:textId="77777777" w:rsidR="00AE6E1B" w:rsidRPr="00975826" w:rsidRDefault="00AE6E1B" w:rsidP="005D4764">
            <w:pPr>
              <w:spacing w:before="60" w:after="60"/>
              <w:ind w:left="0" w:firstLine="0"/>
              <w:jc w:val="center"/>
              <w:rPr>
                <w:color w:val="000000" w:themeColor="text1"/>
                <w:sz w:val="20"/>
                <w:szCs w:val="20"/>
              </w:rPr>
            </w:pPr>
            <w:r w:rsidRPr="00975826">
              <w:rPr>
                <w:color w:val="000000" w:themeColor="text1"/>
                <w:sz w:val="20"/>
                <w:szCs w:val="20"/>
              </w:rPr>
              <w:t>0.305%</w:t>
            </w:r>
          </w:p>
        </w:tc>
        <w:tc>
          <w:tcPr>
            <w:tcW w:w="1529" w:type="dxa"/>
          </w:tcPr>
          <w:p w14:paraId="1736BF28" w14:textId="77777777" w:rsidR="00AE6E1B" w:rsidRPr="00975826" w:rsidRDefault="00AE6E1B" w:rsidP="005D4764">
            <w:pPr>
              <w:spacing w:before="60" w:after="60"/>
              <w:ind w:left="0" w:firstLine="0"/>
              <w:jc w:val="center"/>
              <w:rPr>
                <w:color w:val="000000" w:themeColor="text1"/>
                <w:sz w:val="20"/>
                <w:szCs w:val="20"/>
              </w:rPr>
            </w:pPr>
            <w:r w:rsidRPr="00975826">
              <w:rPr>
                <w:color w:val="000000" w:themeColor="text1"/>
                <w:sz w:val="20"/>
                <w:szCs w:val="20"/>
              </w:rPr>
              <w:t>0.000%</w:t>
            </w:r>
          </w:p>
        </w:tc>
        <w:tc>
          <w:tcPr>
            <w:tcW w:w="1880" w:type="dxa"/>
          </w:tcPr>
          <w:p w14:paraId="2A501CBA" w14:textId="77777777" w:rsidR="00AE6E1B" w:rsidRPr="00975826" w:rsidRDefault="00AE6E1B" w:rsidP="005D4764">
            <w:pPr>
              <w:spacing w:before="60" w:after="60"/>
              <w:ind w:left="0" w:firstLine="0"/>
              <w:jc w:val="center"/>
              <w:rPr>
                <w:color w:val="000000" w:themeColor="text1"/>
                <w:sz w:val="20"/>
                <w:szCs w:val="20"/>
              </w:rPr>
            </w:pPr>
            <w:r w:rsidRPr="00975826">
              <w:rPr>
                <w:color w:val="000000" w:themeColor="text1"/>
                <w:sz w:val="20"/>
                <w:szCs w:val="20"/>
              </w:rPr>
              <w:t>0.305%</w:t>
            </w:r>
          </w:p>
        </w:tc>
      </w:tr>
      <w:tr w:rsidR="00AE6E1B" w14:paraId="661FC517" w14:textId="77777777" w:rsidTr="007174C2">
        <w:tc>
          <w:tcPr>
            <w:tcW w:w="3828" w:type="dxa"/>
          </w:tcPr>
          <w:p w14:paraId="430A202F" w14:textId="123EC4A0" w:rsidR="00AE6E1B" w:rsidRPr="00DB7F7A" w:rsidRDefault="00D27B6B" w:rsidP="005D4764">
            <w:pPr>
              <w:spacing w:before="60" w:after="60"/>
              <w:ind w:left="0" w:firstLine="0"/>
              <w:rPr>
                <w:color w:val="000000" w:themeColor="text1"/>
                <w:sz w:val="20"/>
                <w:szCs w:val="20"/>
              </w:rPr>
            </w:pPr>
            <w:r w:rsidRPr="00DB7F7A">
              <w:rPr>
                <w:color w:val="000000" w:themeColor="text1"/>
                <w:sz w:val="20"/>
                <w:szCs w:val="20"/>
              </w:rPr>
              <w:t>Index-Linked Passive</w:t>
            </w:r>
          </w:p>
        </w:tc>
        <w:tc>
          <w:tcPr>
            <w:tcW w:w="2126" w:type="dxa"/>
          </w:tcPr>
          <w:p w14:paraId="76817985" w14:textId="1AD1071A" w:rsidR="00AE6E1B" w:rsidRPr="00975826" w:rsidRDefault="00AE6E1B" w:rsidP="005D4764">
            <w:pPr>
              <w:spacing w:before="60" w:after="60"/>
              <w:ind w:left="0" w:firstLine="0"/>
              <w:jc w:val="center"/>
              <w:rPr>
                <w:color w:val="000000" w:themeColor="text1"/>
                <w:sz w:val="20"/>
                <w:szCs w:val="20"/>
              </w:rPr>
            </w:pPr>
            <w:r w:rsidRPr="00975826">
              <w:rPr>
                <w:color w:val="000000" w:themeColor="text1"/>
                <w:sz w:val="20"/>
                <w:szCs w:val="20"/>
              </w:rPr>
              <w:t>0.</w:t>
            </w:r>
            <w:r w:rsidR="002D4732" w:rsidRPr="00975826">
              <w:rPr>
                <w:color w:val="000000" w:themeColor="text1"/>
                <w:sz w:val="20"/>
                <w:szCs w:val="20"/>
              </w:rPr>
              <w:t>325</w:t>
            </w:r>
            <w:r w:rsidRPr="00975826">
              <w:rPr>
                <w:color w:val="000000" w:themeColor="text1"/>
                <w:sz w:val="20"/>
                <w:szCs w:val="20"/>
              </w:rPr>
              <w:t>%</w:t>
            </w:r>
          </w:p>
        </w:tc>
        <w:tc>
          <w:tcPr>
            <w:tcW w:w="1529" w:type="dxa"/>
          </w:tcPr>
          <w:p w14:paraId="601FEA56" w14:textId="30E5B54C" w:rsidR="00AE6E1B" w:rsidRPr="00975826" w:rsidRDefault="00AE6E1B" w:rsidP="005D4764">
            <w:pPr>
              <w:spacing w:before="60" w:after="60"/>
              <w:ind w:left="0" w:firstLine="0"/>
              <w:jc w:val="center"/>
              <w:rPr>
                <w:color w:val="000000" w:themeColor="text1"/>
                <w:sz w:val="20"/>
                <w:szCs w:val="20"/>
              </w:rPr>
            </w:pPr>
            <w:r w:rsidRPr="00975826">
              <w:rPr>
                <w:color w:val="000000" w:themeColor="text1"/>
                <w:sz w:val="20"/>
                <w:szCs w:val="20"/>
              </w:rPr>
              <w:t>0.0</w:t>
            </w:r>
            <w:r w:rsidR="002D4732" w:rsidRPr="00975826">
              <w:rPr>
                <w:color w:val="000000" w:themeColor="text1"/>
                <w:sz w:val="20"/>
                <w:szCs w:val="20"/>
              </w:rPr>
              <w:t>10</w:t>
            </w:r>
            <w:r w:rsidRPr="00975826">
              <w:rPr>
                <w:color w:val="000000" w:themeColor="text1"/>
                <w:sz w:val="20"/>
                <w:szCs w:val="20"/>
              </w:rPr>
              <w:t>%</w:t>
            </w:r>
          </w:p>
        </w:tc>
        <w:tc>
          <w:tcPr>
            <w:tcW w:w="1880" w:type="dxa"/>
          </w:tcPr>
          <w:p w14:paraId="436DCB5F" w14:textId="5BAC6536" w:rsidR="00AE6E1B" w:rsidRPr="00975826" w:rsidRDefault="00AE6E1B" w:rsidP="005D4764">
            <w:pPr>
              <w:spacing w:before="60" w:after="60"/>
              <w:ind w:left="0" w:firstLine="0"/>
              <w:jc w:val="center"/>
              <w:rPr>
                <w:color w:val="000000" w:themeColor="text1"/>
                <w:sz w:val="20"/>
                <w:szCs w:val="20"/>
              </w:rPr>
            </w:pPr>
            <w:r w:rsidRPr="00975826">
              <w:rPr>
                <w:color w:val="000000" w:themeColor="text1"/>
                <w:sz w:val="20"/>
                <w:szCs w:val="20"/>
              </w:rPr>
              <w:t>0.</w:t>
            </w:r>
            <w:r w:rsidR="003774B5" w:rsidRPr="00975826">
              <w:rPr>
                <w:color w:val="000000" w:themeColor="text1"/>
                <w:sz w:val="20"/>
                <w:szCs w:val="20"/>
              </w:rPr>
              <w:t>335</w:t>
            </w:r>
            <w:r w:rsidRPr="00975826">
              <w:rPr>
                <w:color w:val="000000" w:themeColor="text1"/>
                <w:sz w:val="20"/>
                <w:szCs w:val="20"/>
              </w:rPr>
              <w:t>%</w:t>
            </w:r>
          </w:p>
        </w:tc>
      </w:tr>
    </w:tbl>
    <w:p w14:paraId="69B91DA4" w14:textId="7DB2FA4F" w:rsidR="00E22A03" w:rsidRPr="00DB6987" w:rsidRDefault="00E22A03" w:rsidP="00CC45B0">
      <w:pPr>
        <w:spacing w:before="240"/>
        <w:ind w:left="0" w:firstLine="0"/>
        <w:jc w:val="both"/>
        <w:rPr>
          <w:b/>
        </w:rPr>
      </w:pPr>
      <w:r w:rsidRPr="00DB6987">
        <w:rPr>
          <w:b/>
        </w:rPr>
        <w:t>Transaction costs</w:t>
      </w:r>
    </w:p>
    <w:p w14:paraId="0B3E9204" w14:textId="7394D6B7" w:rsidR="009756DD" w:rsidRDefault="00454976" w:rsidP="00EF0E1B">
      <w:pPr>
        <w:ind w:left="0" w:firstLine="0"/>
        <w:jc w:val="both"/>
        <w:rPr>
          <w:sz w:val="20"/>
          <w:szCs w:val="20"/>
        </w:rPr>
      </w:pPr>
      <w:r>
        <w:rPr>
          <w:sz w:val="20"/>
          <w:szCs w:val="20"/>
        </w:rPr>
        <w:t xml:space="preserve">The Trustee is also required to separately disclose transaction cost figures that are borne by members, in </w:t>
      </w:r>
      <w:r w:rsidR="00B117CE" w:rsidRPr="00904562">
        <w:rPr>
          <w:sz w:val="20"/>
          <w:szCs w:val="20"/>
        </w:rPr>
        <w:t xml:space="preserve">addition to the above </w:t>
      </w:r>
      <w:r w:rsidR="0084333F">
        <w:rPr>
          <w:sz w:val="20"/>
          <w:szCs w:val="20"/>
        </w:rPr>
        <w:t xml:space="preserve">annual </w:t>
      </w:r>
      <w:r w:rsidR="00B117CE" w:rsidRPr="00904562">
        <w:rPr>
          <w:sz w:val="20"/>
          <w:szCs w:val="20"/>
        </w:rPr>
        <w:t>charges</w:t>
      </w:r>
      <w:r>
        <w:rPr>
          <w:sz w:val="20"/>
          <w:szCs w:val="20"/>
        </w:rPr>
        <w:t xml:space="preserve">. In the context of this statement the </w:t>
      </w:r>
      <w:r w:rsidR="00B117CE" w:rsidRPr="00904562">
        <w:rPr>
          <w:sz w:val="20"/>
          <w:szCs w:val="20"/>
        </w:rPr>
        <w:t>transaction costs</w:t>
      </w:r>
      <w:r w:rsidR="006103F9">
        <w:rPr>
          <w:sz w:val="20"/>
          <w:szCs w:val="20"/>
        </w:rPr>
        <w:t xml:space="preserve"> </w:t>
      </w:r>
      <w:r>
        <w:rPr>
          <w:sz w:val="20"/>
          <w:szCs w:val="20"/>
        </w:rPr>
        <w:t>shown are</w:t>
      </w:r>
      <w:r w:rsidR="0042457E" w:rsidRPr="00904562">
        <w:rPr>
          <w:sz w:val="20"/>
          <w:szCs w:val="20"/>
        </w:rPr>
        <w:t xml:space="preserve"> those</w:t>
      </w:r>
      <w:r w:rsidR="00B117CE" w:rsidRPr="00904562">
        <w:rPr>
          <w:sz w:val="20"/>
          <w:szCs w:val="20"/>
        </w:rPr>
        <w:t xml:space="preserve"> that arise as a result</w:t>
      </w:r>
      <w:r w:rsidR="0042457E" w:rsidRPr="00904562">
        <w:rPr>
          <w:sz w:val="20"/>
          <w:szCs w:val="20"/>
        </w:rPr>
        <w:t xml:space="preserve"> of buying or selling the investments held by each fund. </w:t>
      </w:r>
      <w:r w:rsidR="005E2247">
        <w:rPr>
          <w:sz w:val="20"/>
          <w:szCs w:val="20"/>
        </w:rPr>
        <w:t xml:space="preserve"> However, t</w:t>
      </w:r>
      <w:r w:rsidR="009756DD" w:rsidRPr="009756DD">
        <w:rPr>
          <w:sz w:val="20"/>
          <w:szCs w:val="20"/>
        </w:rPr>
        <w:t>here is no standard w</w:t>
      </w:r>
      <w:r w:rsidR="009756DD">
        <w:rPr>
          <w:sz w:val="20"/>
          <w:szCs w:val="20"/>
        </w:rPr>
        <w:t>ay of calculating transaction</w:t>
      </w:r>
      <w:r w:rsidR="009756DD" w:rsidRPr="009756DD">
        <w:rPr>
          <w:sz w:val="20"/>
          <w:szCs w:val="20"/>
        </w:rPr>
        <w:t xml:space="preserve"> costs. </w:t>
      </w:r>
      <w:r w:rsidR="007C2AA3">
        <w:rPr>
          <w:sz w:val="20"/>
          <w:szCs w:val="20"/>
        </w:rPr>
        <w:t xml:space="preserve"> </w:t>
      </w:r>
      <w:r w:rsidR="009756DD" w:rsidRPr="009756DD">
        <w:rPr>
          <w:sz w:val="20"/>
          <w:szCs w:val="20"/>
        </w:rPr>
        <w:t>The FCA has stipulated that a calculation methodology called ‘sli</w:t>
      </w:r>
      <w:r w:rsidR="009756DD">
        <w:rPr>
          <w:sz w:val="20"/>
          <w:szCs w:val="20"/>
        </w:rPr>
        <w:t>ppage cost’ should be</w:t>
      </w:r>
      <w:r w:rsidR="00296AC1">
        <w:rPr>
          <w:sz w:val="20"/>
          <w:szCs w:val="20"/>
        </w:rPr>
        <w:t xml:space="preserve"> used.  This</w:t>
      </w:r>
      <w:r w:rsidR="009756DD" w:rsidRPr="009756DD">
        <w:rPr>
          <w:sz w:val="20"/>
          <w:szCs w:val="20"/>
        </w:rPr>
        <w:t xml:space="preserve"> calculates the difference betwe</w:t>
      </w:r>
      <w:r w:rsidR="009756DD">
        <w:rPr>
          <w:sz w:val="20"/>
          <w:szCs w:val="20"/>
        </w:rPr>
        <w:t>en the expected price of buying</w:t>
      </w:r>
      <w:r w:rsidR="009756DD" w:rsidRPr="009756DD">
        <w:rPr>
          <w:sz w:val="20"/>
          <w:szCs w:val="20"/>
        </w:rPr>
        <w:t xml:space="preserve"> a</w:t>
      </w:r>
      <w:r w:rsidR="009756DD">
        <w:rPr>
          <w:sz w:val="20"/>
          <w:szCs w:val="20"/>
        </w:rPr>
        <w:t>n underlying investment in a fund, such as a company share, at the time the order is placed by the investment</w:t>
      </w:r>
      <w:r w:rsidR="009756DD" w:rsidRPr="009756DD">
        <w:rPr>
          <w:sz w:val="20"/>
          <w:szCs w:val="20"/>
        </w:rPr>
        <w:t xml:space="preserve"> manager and the </w:t>
      </w:r>
      <w:r w:rsidR="001A5F52">
        <w:rPr>
          <w:sz w:val="20"/>
          <w:szCs w:val="20"/>
        </w:rPr>
        <w:t xml:space="preserve">final </w:t>
      </w:r>
      <w:r w:rsidR="009756DD" w:rsidRPr="009756DD">
        <w:rPr>
          <w:sz w:val="20"/>
          <w:szCs w:val="20"/>
        </w:rPr>
        <w:t xml:space="preserve">price at which the trade is </w:t>
      </w:r>
      <w:r w:rsidR="009756DD">
        <w:rPr>
          <w:sz w:val="20"/>
          <w:szCs w:val="20"/>
        </w:rPr>
        <w:t>executed</w:t>
      </w:r>
      <w:r w:rsidR="009756DD" w:rsidRPr="009756DD">
        <w:rPr>
          <w:sz w:val="20"/>
          <w:szCs w:val="20"/>
        </w:rPr>
        <w:t xml:space="preserve">. </w:t>
      </w:r>
      <w:r w:rsidR="009756DD">
        <w:rPr>
          <w:sz w:val="20"/>
          <w:szCs w:val="20"/>
        </w:rPr>
        <w:t xml:space="preserve"> </w:t>
      </w:r>
      <w:r w:rsidR="009756DD" w:rsidRPr="009756DD">
        <w:rPr>
          <w:sz w:val="20"/>
          <w:szCs w:val="20"/>
        </w:rPr>
        <w:t>One consequence of this calculation method is that, rather than generating a c</w:t>
      </w:r>
      <w:r w:rsidR="00296AC1">
        <w:rPr>
          <w:sz w:val="20"/>
          <w:szCs w:val="20"/>
        </w:rPr>
        <w:t>ost, it can result in a profit that in turn results in a negative transaction cost being reported</w:t>
      </w:r>
      <w:r w:rsidR="009756DD" w:rsidRPr="009756DD">
        <w:rPr>
          <w:sz w:val="20"/>
          <w:szCs w:val="20"/>
        </w:rPr>
        <w:t xml:space="preserve">. </w:t>
      </w:r>
      <w:r w:rsidR="00296AC1">
        <w:rPr>
          <w:sz w:val="20"/>
          <w:szCs w:val="20"/>
        </w:rPr>
        <w:t xml:space="preserve"> </w:t>
      </w:r>
      <w:r w:rsidR="009756DD" w:rsidRPr="009756DD">
        <w:rPr>
          <w:sz w:val="20"/>
          <w:szCs w:val="20"/>
        </w:rPr>
        <w:t>This can happen, for exampl</w:t>
      </w:r>
      <w:r w:rsidR="009756DD">
        <w:rPr>
          <w:sz w:val="20"/>
          <w:szCs w:val="20"/>
        </w:rPr>
        <w:t xml:space="preserve">e, </w:t>
      </w:r>
      <w:r w:rsidR="00090281">
        <w:rPr>
          <w:sz w:val="20"/>
          <w:szCs w:val="20"/>
        </w:rPr>
        <w:t>if</w:t>
      </w:r>
      <w:r w:rsidR="009756DD">
        <w:rPr>
          <w:sz w:val="20"/>
          <w:szCs w:val="20"/>
        </w:rPr>
        <w:t xml:space="preserve"> the price paid when</w:t>
      </w:r>
      <w:r w:rsidR="009756DD" w:rsidRPr="009756DD">
        <w:rPr>
          <w:sz w:val="20"/>
          <w:szCs w:val="20"/>
        </w:rPr>
        <w:t xml:space="preserve"> buying an investment is lower than the expected price.</w:t>
      </w:r>
    </w:p>
    <w:p w14:paraId="41D22DB6" w14:textId="73329DD8" w:rsidR="009D1559" w:rsidRDefault="0087442A" w:rsidP="00EF0E1B">
      <w:pPr>
        <w:ind w:left="0" w:firstLine="0"/>
        <w:jc w:val="both"/>
        <w:rPr>
          <w:sz w:val="20"/>
          <w:szCs w:val="20"/>
        </w:rPr>
      </w:pPr>
      <w:r>
        <w:rPr>
          <w:sz w:val="20"/>
          <w:szCs w:val="20"/>
        </w:rPr>
        <w:t>T</w:t>
      </w:r>
      <w:r w:rsidRPr="00715BF1">
        <w:rPr>
          <w:sz w:val="20"/>
          <w:szCs w:val="20"/>
        </w:rPr>
        <w:t xml:space="preserve">he tables below show the total transaction costs </w:t>
      </w:r>
      <w:r>
        <w:rPr>
          <w:sz w:val="20"/>
          <w:szCs w:val="20"/>
        </w:rPr>
        <w:t>(</w:t>
      </w:r>
      <w:r w:rsidR="00454976">
        <w:rPr>
          <w:sz w:val="20"/>
          <w:szCs w:val="20"/>
        </w:rPr>
        <w:t>supplied by Aviva and Prudential</w:t>
      </w:r>
      <w:r>
        <w:rPr>
          <w:sz w:val="20"/>
          <w:szCs w:val="20"/>
        </w:rPr>
        <w:t xml:space="preserve">) </w:t>
      </w:r>
      <w:r w:rsidRPr="00715BF1">
        <w:rPr>
          <w:sz w:val="20"/>
          <w:szCs w:val="20"/>
        </w:rPr>
        <w:t xml:space="preserve">incurred by </w:t>
      </w:r>
      <w:r>
        <w:rPr>
          <w:sz w:val="20"/>
          <w:szCs w:val="20"/>
        </w:rPr>
        <w:t xml:space="preserve">each investment fund over </w:t>
      </w:r>
      <w:r w:rsidRPr="00715BF1">
        <w:rPr>
          <w:sz w:val="20"/>
          <w:szCs w:val="20"/>
        </w:rPr>
        <w:t xml:space="preserve">the most </w:t>
      </w:r>
      <w:r w:rsidRPr="00A970B7">
        <w:rPr>
          <w:color w:val="000000" w:themeColor="text1"/>
          <w:sz w:val="20"/>
          <w:szCs w:val="20"/>
        </w:rPr>
        <w:t>recent 12</w:t>
      </w:r>
      <w:r w:rsidR="00A970B7" w:rsidRPr="00A970B7">
        <w:rPr>
          <w:color w:val="000000" w:themeColor="text1"/>
          <w:sz w:val="20"/>
          <w:szCs w:val="20"/>
        </w:rPr>
        <w:t>-</w:t>
      </w:r>
      <w:r w:rsidRPr="00A970B7">
        <w:rPr>
          <w:color w:val="000000" w:themeColor="text1"/>
          <w:sz w:val="20"/>
          <w:szCs w:val="20"/>
        </w:rPr>
        <w:t>month period for which this information was available at the time of preparing this statement – to 31</w:t>
      </w:r>
      <w:r w:rsidR="002635F0" w:rsidRPr="00A970B7">
        <w:rPr>
          <w:color w:val="000000" w:themeColor="text1"/>
          <w:sz w:val="20"/>
          <w:szCs w:val="20"/>
        </w:rPr>
        <w:t xml:space="preserve"> </w:t>
      </w:r>
      <w:r w:rsidRPr="00A970B7">
        <w:rPr>
          <w:color w:val="000000" w:themeColor="text1"/>
          <w:sz w:val="20"/>
          <w:szCs w:val="20"/>
        </w:rPr>
        <w:t>March 202</w:t>
      </w:r>
      <w:r w:rsidR="00A970B7" w:rsidRPr="00A970B7">
        <w:rPr>
          <w:color w:val="000000" w:themeColor="text1"/>
          <w:sz w:val="20"/>
          <w:szCs w:val="20"/>
        </w:rPr>
        <w:t xml:space="preserve">5 for both </w:t>
      </w:r>
      <w:r w:rsidRPr="00A970B7">
        <w:rPr>
          <w:color w:val="000000" w:themeColor="text1"/>
          <w:sz w:val="20"/>
          <w:szCs w:val="20"/>
        </w:rPr>
        <w:t xml:space="preserve">Aviva and Prudential.  </w:t>
      </w:r>
      <w:r w:rsidR="00FD3BCC" w:rsidRPr="00A970B7">
        <w:rPr>
          <w:color w:val="000000" w:themeColor="text1"/>
          <w:sz w:val="20"/>
          <w:szCs w:val="20"/>
        </w:rPr>
        <w:t xml:space="preserve">In line </w:t>
      </w:r>
      <w:r w:rsidR="00FD3BCC" w:rsidRPr="00FD3BCC">
        <w:rPr>
          <w:sz w:val="20"/>
          <w:szCs w:val="20"/>
        </w:rPr>
        <w:t xml:space="preserve">with guidance from the DWP, </w:t>
      </w:r>
      <w:r w:rsidR="00FD3BCC">
        <w:rPr>
          <w:sz w:val="20"/>
          <w:szCs w:val="20"/>
        </w:rPr>
        <w:t xml:space="preserve">any </w:t>
      </w:r>
      <w:r w:rsidR="00FD3BCC" w:rsidRPr="00FD3BCC">
        <w:rPr>
          <w:sz w:val="20"/>
          <w:szCs w:val="20"/>
        </w:rPr>
        <w:t>negative transaction costs are shown as zero</w:t>
      </w:r>
      <w:r w:rsidR="00FD3BCC">
        <w:rPr>
          <w:sz w:val="20"/>
          <w:szCs w:val="20"/>
        </w:rPr>
        <w:t>.</w:t>
      </w:r>
      <w:r w:rsidR="00720FCF">
        <w:rPr>
          <w:sz w:val="20"/>
          <w:szCs w:val="20"/>
        </w:rPr>
        <w:t xml:space="preserve"> When preparing this section of the statement the Trustee has taken into account the relevant statutory guidance.</w:t>
      </w:r>
    </w:p>
    <w:p w14:paraId="15FAA593" w14:textId="71793D0E" w:rsidR="00A83651" w:rsidRPr="00A83651" w:rsidRDefault="00A83651" w:rsidP="00A6667B">
      <w:pPr>
        <w:ind w:left="0" w:firstLine="0"/>
        <w:jc w:val="both"/>
        <w:rPr>
          <w:b/>
          <w:bCs/>
          <w:i/>
          <w:iCs/>
          <w:sz w:val="20"/>
          <w:szCs w:val="20"/>
        </w:rPr>
      </w:pPr>
      <w:r w:rsidRPr="00A83651">
        <w:rPr>
          <w:b/>
          <w:bCs/>
          <w:i/>
          <w:iCs/>
          <w:sz w:val="20"/>
          <w:szCs w:val="20"/>
        </w:rPr>
        <w:t>Aviva AVC accounts</w:t>
      </w:r>
    </w:p>
    <w:tbl>
      <w:tblPr>
        <w:tblStyle w:val="GridTable1Light"/>
        <w:tblW w:w="0" w:type="auto"/>
        <w:tblLook w:val="04A0" w:firstRow="1" w:lastRow="0" w:firstColumn="1" w:lastColumn="0" w:noHBand="0" w:noVBand="1"/>
      </w:tblPr>
      <w:tblGrid>
        <w:gridCol w:w="4957"/>
        <w:gridCol w:w="3543"/>
      </w:tblGrid>
      <w:tr w:rsidR="00715BF1" w:rsidRPr="00715BF1" w14:paraId="53F4A9DE" w14:textId="77777777" w:rsidTr="009E20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shd w:val="clear" w:color="auto" w:fill="BFBFBF" w:themeFill="background1" w:themeFillShade="BF"/>
          </w:tcPr>
          <w:p w14:paraId="6E6CB220" w14:textId="1546CEC3" w:rsidR="004D7E85" w:rsidRPr="00715BF1" w:rsidRDefault="004D7E85" w:rsidP="0049104D">
            <w:pPr>
              <w:ind w:left="0" w:firstLine="0"/>
              <w:rPr>
                <w:sz w:val="20"/>
                <w:szCs w:val="20"/>
              </w:rPr>
            </w:pPr>
            <w:r w:rsidRPr="00715BF1">
              <w:rPr>
                <w:sz w:val="20"/>
                <w:szCs w:val="20"/>
              </w:rPr>
              <w:t>Fund Name</w:t>
            </w:r>
          </w:p>
        </w:tc>
        <w:tc>
          <w:tcPr>
            <w:tcW w:w="3543" w:type="dxa"/>
            <w:shd w:val="clear" w:color="auto" w:fill="BFBFBF" w:themeFill="background1" w:themeFillShade="BF"/>
            <w:vAlign w:val="center"/>
          </w:tcPr>
          <w:p w14:paraId="5AFA6B56" w14:textId="4EA01C33" w:rsidR="004D7E85" w:rsidRPr="009E20E6" w:rsidRDefault="004D7E85" w:rsidP="009E20E6">
            <w:pPr>
              <w:spacing w:after="120"/>
              <w:ind w:left="0" w:firstLine="0"/>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541D6">
              <w:rPr>
                <w:sz w:val="20"/>
                <w:szCs w:val="20"/>
              </w:rPr>
              <w:t>Total Transaction Costs</w:t>
            </w:r>
            <w:r w:rsidR="004A7B08" w:rsidRPr="008541D6">
              <w:rPr>
                <w:sz w:val="20"/>
                <w:szCs w:val="20"/>
              </w:rPr>
              <w:t xml:space="preserve"> for the year ending</w:t>
            </w:r>
            <w:r w:rsidR="009E20E6">
              <w:rPr>
                <w:sz w:val="20"/>
                <w:szCs w:val="20"/>
              </w:rPr>
              <w:t xml:space="preserve"> </w:t>
            </w:r>
            <w:r w:rsidR="0063031E" w:rsidRPr="008541D6">
              <w:rPr>
                <w:sz w:val="20"/>
                <w:szCs w:val="20"/>
              </w:rPr>
              <w:t>31 March 202</w:t>
            </w:r>
            <w:r w:rsidR="009B7EFC">
              <w:rPr>
                <w:sz w:val="20"/>
                <w:szCs w:val="20"/>
              </w:rPr>
              <w:t>5</w:t>
            </w:r>
          </w:p>
        </w:tc>
      </w:tr>
      <w:tr w:rsidR="00715BF1" w:rsidRPr="00715BF1" w14:paraId="140D5566" w14:textId="77777777" w:rsidTr="009E20E6">
        <w:tc>
          <w:tcPr>
            <w:cnfStyle w:val="001000000000" w:firstRow="0" w:lastRow="0" w:firstColumn="1" w:lastColumn="0" w:oddVBand="0" w:evenVBand="0" w:oddHBand="0" w:evenHBand="0" w:firstRowFirstColumn="0" w:firstRowLastColumn="0" w:lastRowFirstColumn="0" w:lastRowLastColumn="0"/>
            <w:tcW w:w="4957" w:type="dxa"/>
          </w:tcPr>
          <w:p w14:paraId="6C258B81" w14:textId="663E4B0B" w:rsidR="004D7E85" w:rsidRPr="0080382A" w:rsidRDefault="004D7E85" w:rsidP="0049104D">
            <w:pPr>
              <w:ind w:left="0" w:firstLine="0"/>
              <w:rPr>
                <w:b w:val="0"/>
                <w:bCs w:val="0"/>
                <w:color w:val="000000" w:themeColor="text1"/>
                <w:sz w:val="20"/>
                <w:szCs w:val="20"/>
              </w:rPr>
            </w:pPr>
            <w:r w:rsidRPr="0080382A">
              <w:rPr>
                <w:b w:val="0"/>
                <w:bCs w:val="0"/>
                <w:color w:val="000000" w:themeColor="text1"/>
                <w:sz w:val="20"/>
                <w:szCs w:val="20"/>
              </w:rPr>
              <w:t>With-Profits</w:t>
            </w:r>
            <w:r w:rsidR="00E943A3" w:rsidRPr="0080382A">
              <w:rPr>
                <w:b w:val="0"/>
                <w:bCs w:val="0"/>
                <w:color w:val="000000" w:themeColor="text1"/>
                <w:sz w:val="20"/>
                <w:szCs w:val="20"/>
              </w:rPr>
              <w:t xml:space="preserve"> (CGNU)</w:t>
            </w:r>
          </w:p>
        </w:tc>
        <w:tc>
          <w:tcPr>
            <w:tcW w:w="3543" w:type="dxa"/>
          </w:tcPr>
          <w:p w14:paraId="7765B63E" w14:textId="58977366" w:rsidR="004D7E85" w:rsidRPr="009B7EFC" w:rsidRDefault="00293A08" w:rsidP="00904562">
            <w:pPr>
              <w:ind w:left="0" w:firstLine="0"/>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CD20BC">
              <w:rPr>
                <w:color w:val="000000" w:themeColor="text1"/>
                <w:sz w:val="20"/>
                <w:szCs w:val="20"/>
              </w:rPr>
              <w:t>0.0</w:t>
            </w:r>
            <w:r w:rsidR="00CD20BC" w:rsidRPr="00CD20BC">
              <w:rPr>
                <w:color w:val="000000" w:themeColor="text1"/>
                <w:sz w:val="20"/>
                <w:szCs w:val="20"/>
              </w:rPr>
              <w:t>24</w:t>
            </w:r>
            <w:r w:rsidRPr="00CD20BC">
              <w:rPr>
                <w:color w:val="000000" w:themeColor="text1"/>
                <w:sz w:val="20"/>
                <w:szCs w:val="20"/>
              </w:rPr>
              <w:t>0</w:t>
            </w:r>
            <w:r w:rsidR="00CD6015" w:rsidRPr="00CD20BC">
              <w:rPr>
                <w:color w:val="000000" w:themeColor="text1"/>
                <w:sz w:val="20"/>
                <w:szCs w:val="20"/>
              </w:rPr>
              <w:t>%</w:t>
            </w:r>
          </w:p>
        </w:tc>
      </w:tr>
      <w:tr w:rsidR="00B94397" w:rsidRPr="00715BF1" w14:paraId="6457FD77" w14:textId="77777777" w:rsidTr="005D4764">
        <w:tc>
          <w:tcPr>
            <w:cnfStyle w:val="001000000000" w:firstRow="0" w:lastRow="0" w:firstColumn="1" w:lastColumn="0" w:oddVBand="0" w:evenVBand="0" w:oddHBand="0" w:evenHBand="0" w:firstRowFirstColumn="0" w:firstRowLastColumn="0" w:lastRowFirstColumn="0" w:lastRowLastColumn="0"/>
            <w:tcW w:w="4957" w:type="dxa"/>
            <w:vAlign w:val="center"/>
          </w:tcPr>
          <w:p w14:paraId="1DDCE78E" w14:textId="484BDA86" w:rsidR="00B94397" w:rsidRPr="0080382A" w:rsidRDefault="00B94397" w:rsidP="00B94397">
            <w:pPr>
              <w:ind w:left="0" w:firstLine="0"/>
              <w:rPr>
                <w:b w:val="0"/>
                <w:bCs w:val="0"/>
                <w:color w:val="000000" w:themeColor="text1"/>
                <w:sz w:val="20"/>
                <w:szCs w:val="20"/>
              </w:rPr>
            </w:pPr>
            <w:r w:rsidRPr="0080382A">
              <w:rPr>
                <w:b w:val="0"/>
                <w:bCs w:val="0"/>
                <w:color w:val="000000" w:themeColor="text1"/>
                <w:sz w:val="20"/>
                <w:szCs w:val="20"/>
              </w:rPr>
              <w:t>Mixed Investment (40-85% Shares)</w:t>
            </w:r>
          </w:p>
        </w:tc>
        <w:tc>
          <w:tcPr>
            <w:tcW w:w="3543" w:type="dxa"/>
          </w:tcPr>
          <w:p w14:paraId="3EABEAB5" w14:textId="0E427D99" w:rsidR="00B94397" w:rsidRPr="009B7EFC" w:rsidRDefault="0059486B" w:rsidP="00B94397">
            <w:pPr>
              <w:ind w:left="0" w:firstLine="0"/>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CD20BC">
              <w:rPr>
                <w:color w:val="000000" w:themeColor="text1"/>
                <w:sz w:val="20"/>
                <w:szCs w:val="20"/>
              </w:rPr>
              <w:t>0.0</w:t>
            </w:r>
            <w:r w:rsidR="00CD20BC" w:rsidRPr="00CD20BC">
              <w:rPr>
                <w:color w:val="000000" w:themeColor="text1"/>
                <w:sz w:val="20"/>
                <w:szCs w:val="20"/>
              </w:rPr>
              <w:t>777</w:t>
            </w:r>
            <w:r w:rsidR="00B94397" w:rsidRPr="00CD20BC">
              <w:rPr>
                <w:color w:val="000000" w:themeColor="text1"/>
                <w:sz w:val="20"/>
                <w:szCs w:val="20"/>
              </w:rPr>
              <w:t>%</w:t>
            </w:r>
          </w:p>
        </w:tc>
      </w:tr>
      <w:tr w:rsidR="00B94397" w:rsidRPr="00715BF1" w14:paraId="713D779B" w14:textId="77777777" w:rsidTr="005D4764">
        <w:tc>
          <w:tcPr>
            <w:cnfStyle w:val="001000000000" w:firstRow="0" w:lastRow="0" w:firstColumn="1" w:lastColumn="0" w:oddVBand="0" w:evenVBand="0" w:oddHBand="0" w:evenHBand="0" w:firstRowFirstColumn="0" w:firstRowLastColumn="0" w:lastRowFirstColumn="0" w:lastRowLastColumn="0"/>
            <w:tcW w:w="4957" w:type="dxa"/>
            <w:vAlign w:val="center"/>
          </w:tcPr>
          <w:p w14:paraId="6DDCDA5F" w14:textId="210B27A4" w:rsidR="00B94397" w:rsidRPr="0080382A" w:rsidRDefault="00B94397" w:rsidP="00B94397">
            <w:pPr>
              <w:ind w:left="0" w:firstLine="0"/>
              <w:rPr>
                <w:b w:val="0"/>
                <w:bCs w:val="0"/>
                <w:color w:val="000000" w:themeColor="text1"/>
                <w:sz w:val="20"/>
                <w:szCs w:val="20"/>
              </w:rPr>
            </w:pPr>
            <w:r w:rsidRPr="0080382A">
              <w:rPr>
                <w:b w:val="0"/>
                <w:bCs w:val="0"/>
                <w:color w:val="000000" w:themeColor="text1"/>
                <w:sz w:val="20"/>
                <w:szCs w:val="20"/>
              </w:rPr>
              <w:t>My Future Focus Consolidation</w:t>
            </w:r>
          </w:p>
        </w:tc>
        <w:tc>
          <w:tcPr>
            <w:tcW w:w="3543" w:type="dxa"/>
          </w:tcPr>
          <w:p w14:paraId="4CB25A42" w14:textId="27F6875E" w:rsidR="00B94397" w:rsidRPr="009B7EFC" w:rsidRDefault="0059486B" w:rsidP="00B94397">
            <w:pPr>
              <w:ind w:left="0" w:firstLine="0"/>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CD20BC">
              <w:rPr>
                <w:color w:val="000000" w:themeColor="text1"/>
                <w:sz w:val="20"/>
                <w:szCs w:val="20"/>
              </w:rPr>
              <w:t>0.</w:t>
            </w:r>
            <w:r w:rsidR="008D578D" w:rsidRPr="00CD20BC">
              <w:rPr>
                <w:color w:val="000000" w:themeColor="text1"/>
                <w:sz w:val="20"/>
                <w:szCs w:val="20"/>
              </w:rPr>
              <w:t>0</w:t>
            </w:r>
            <w:r w:rsidR="00CD20BC" w:rsidRPr="00CD20BC">
              <w:rPr>
                <w:color w:val="000000" w:themeColor="text1"/>
                <w:sz w:val="20"/>
                <w:szCs w:val="20"/>
              </w:rPr>
              <w:t>328</w:t>
            </w:r>
            <w:r w:rsidR="00B94397" w:rsidRPr="00CD20BC">
              <w:rPr>
                <w:color w:val="000000" w:themeColor="text1"/>
                <w:sz w:val="20"/>
                <w:szCs w:val="20"/>
              </w:rPr>
              <w:t>%</w:t>
            </w:r>
          </w:p>
        </w:tc>
      </w:tr>
      <w:tr w:rsidR="00715BF1" w:rsidRPr="00715BF1" w14:paraId="592FBAA3" w14:textId="77777777" w:rsidTr="009E20E6">
        <w:tc>
          <w:tcPr>
            <w:cnfStyle w:val="001000000000" w:firstRow="0" w:lastRow="0" w:firstColumn="1" w:lastColumn="0" w:oddVBand="0" w:evenVBand="0" w:oddHBand="0" w:evenHBand="0" w:firstRowFirstColumn="0" w:firstRowLastColumn="0" w:lastRowFirstColumn="0" w:lastRowLastColumn="0"/>
            <w:tcW w:w="4957" w:type="dxa"/>
          </w:tcPr>
          <w:p w14:paraId="1EA3A4A9" w14:textId="2F627D5C" w:rsidR="004D7E85" w:rsidRPr="0080382A" w:rsidRDefault="004D7E85" w:rsidP="0049104D">
            <w:pPr>
              <w:ind w:left="0" w:firstLine="0"/>
              <w:rPr>
                <w:b w:val="0"/>
                <w:bCs w:val="0"/>
                <w:color w:val="000000" w:themeColor="text1"/>
                <w:sz w:val="20"/>
                <w:szCs w:val="20"/>
              </w:rPr>
            </w:pPr>
            <w:r w:rsidRPr="0080382A">
              <w:rPr>
                <w:b w:val="0"/>
                <w:bCs w:val="0"/>
                <w:color w:val="000000" w:themeColor="text1"/>
                <w:sz w:val="20"/>
                <w:szCs w:val="20"/>
              </w:rPr>
              <w:t>Pacific Equity</w:t>
            </w:r>
          </w:p>
        </w:tc>
        <w:tc>
          <w:tcPr>
            <w:tcW w:w="3543" w:type="dxa"/>
          </w:tcPr>
          <w:p w14:paraId="06F0A67D" w14:textId="3666EA08" w:rsidR="004D7E85" w:rsidRPr="009B7EFC" w:rsidRDefault="00293A08" w:rsidP="00904562">
            <w:pPr>
              <w:ind w:left="0" w:firstLine="0"/>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CD20BC">
              <w:rPr>
                <w:color w:val="000000" w:themeColor="text1"/>
                <w:sz w:val="20"/>
                <w:szCs w:val="20"/>
              </w:rPr>
              <w:t>0.0</w:t>
            </w:r>
            <w:r w:rsidR="00CD20BC" w:rsidRPr="00CD20BC">
              <w:rPr>
                <w:color w:val="000000" w:themeColor="text1"/>
                <w:sz w:val="20"/>
                <w:szCs w:val="20"/>
              </w:rPr>
              <w:t>583</w:t>
            </w:r>
            <w:r w:rsidR="00D67CD4" w:rsidRPr="00CD20BC">
              <w:rPr>
                <w:color w:val="000000" w:themeColor="text1"/>
                <w:sz w:val="20"/>
                <w:szCs w:val="20"/>
              </w:rPr>
              <w:t>%</w:t>
            </w:r>
          </w:p>
        </w:tc>
      </w:tr>
      <w:tr w:rsidR="00715BF1" w:rsidRPr="00715BF1" w14:paraId="4FD4DDF3" w14:textId="77777777" w:rsidTr="009E20E6">
        <w:tc>
          <w:tcPr>
            <w:cnfStyle w:val="001000000000" w:firstRow="0" w:lastRow="0" w:firstColumn="1" w:lastColumn="0" w:oddVBand="0" w:evenVBand="0" w:oddHBand="0" w:evenHBand="0" w:firstRowFirstColumn="0" w:firstRowLastColumn="0" w:lastRowFirstColumn="0" w:lastRowLastColumn="0"/>
            <w:tcW w:w="4957" w:type="dxa"/>
          </w:tcPr>
          <w:p w14:paraId="1717E605" w14:textId="706FF781" w:rsidR="004D7E85" w:rsidRPr="0080382A" w:rsidRDefault="004D7E85" w:rsidP="0049104D">
            <w:pPr>
              <w:ind w:left="0" w:firstLine="0"/>
              <w:rPr>
                <w:b w:val="0"/>
                <w:bCs w:val="0"/>
                <w:color w:val="000000" w:themeColor="text1"/>
                <w:sz w:val="20"/>
                <w:szCs w:val="20"/>
              </w:rPr>
            </w:pPr>
            <w:r w:rsidRPr="0080382A">
              <w:rPr>
                <w:b w:val="0"/>
                <w:bCs w:val="0"/>
                <w:color w:val="000000" w:themeColor="text1"/>
                <w:sz w:val="20"/>
                <w:szCs w:val="20"/>
              </w:rPr>
              <w:t>BlackRock Aquila Pacific Rim Equity Index Tracker</w:t>
            </w:r>
          </w:p>
        </w:tc>
        <w:tc>
          <w:tcPr>
            <w:tcW w:w="3543" w:type="dxa"/>
          </w:tcPr>
          <w:p w14:paraId="0AE00963" w14:textId="0854A519" w:rsidR="004D7E85" w:rsidRPr="009B7EFC" w:rsidRDefault="0059486B" w:rsidP="00904562">
            <w:pPr>
              <w:ind w:left="0" w:firstLine="0"/>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CD20BC">
              <w:rPr>
                <w:color w:val="000000" w:themeColor="text1"/>
                <w:sz w:val="20"/>
                <w:szCs w:val="20"/>
              </w:rPr>
              <w:t>0.</w:t>
            </w:r>
            <w:r w:rsidR="00CD20BC" w:rsidRPr="00CD20BC">
              <w:rPr>
                <w:color w:val="000000" w:themeColor="text1"/>
                <w:sz w:val="20"/>
                <w:szCs w:val="20"/>
              </w:rPr>
              <w:t>2616</w:t>
            </w:r>
            <w:r w:rsidR="00D67CD4" w:rsidRPr="00CD20BC">
              <w:rPr>
                <w:color w:val="000000" w:themeColor="text1"/>
                <w:sz w:val="20"/>
                <w:szCs w:val="20"/>
              </w:rPr>
              <w:t>%</w:t>
            </w:r>
          </w:p>
        </w:tc>
      </w:tr>
      <w:tr w:rsidR="008D578D" w:rsidRPr="008D578D" w14:paraId="447565C8" w14:textId="77777777" w:rsidTr="009E20E6">
        <w:tc>
          <w:tcPr>
            <w:cnfStyle w:val="001000000000" w:firstRow="0" w:lastRow="0" w:firstColumn="1" w:lastColumn="0" w:oddVBand="0" w:evenVBand="0" w:oddHBand="0" w:evenHBand="0" w:firstRowFirstColumn="0" w:firstRowLastColumn="0" w:lastRowFirstColumn="0" w:lastRowLastColumn="0"/>
            <w:tcW w:w="4957" w:type="dxa"/>
          </w:tcPr>
          <w:p w14:paraId="34539BF4" w14:textId="7297AEB6" w:rsidR="004D7E85" w:rsidRPr="00CB5D48" w:rsidRDefault="004D7E85" w:rsidP="0049104D">
            <w:pPr>
              <w:ind w:left="0" w:firstLine="0"/>
              <w:rPr>
                <w:b w:val="0"/>
                <w:color w:val="000000" w:themeColor="text1"/>
                <w:sz w:val="20"/>
                <w:szCs w:val="20"/>
              </w:rPr>
            </w:pPr>
            <w:r w:rsidRPr="00CB5D48">
              <w:rPr>
                <w:b w:val="0"/>
                <w:color w:val="000000" w:themeColor="text1"/>
                <w:sz w:val="20"/>
                <w:szCs w:val="20"/>
              </w:rPr>
              <w:t>Property</w:t>
            </w:r>
          </w:p>
        </w:tc>
        <w:tc>
          <w:tcPr>
            <w:tcW w:w="3543" w:type="dxa"/>
          </w:tcPr>
          <w:p w14:paraId="0692AFF8" w14:textId="1D22035F" w:rsidR="004D7E85" w:rsidRPr="009B7EFC" w:rsidRDefault="00293A08" w:rsidP="00904562">
            <w:pPr>
              <w:ind w:left="0" w:firstLine="0"/>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CD20BC">
              <w:rPr>
                <w:color w:val="000000" w:themeColor="text1"/>
                <w:sz w:val="20"/>
                <w:szCs w:val="20"/>
              </w:rPr>
              <w:t>0.0</w:t>
            </w:r>
            <w:r w:rsidR="00CD20BC" w:rsidRPr="00CD20BC">
              <w:rPr>
                <w:color w:val="000000" w:themeColor="text1"/>
                <w:sz w:val="20"/>
                <w:szCs w:val="20"/>
              </w:rPr>
              <w:t>906</w:t>
            </w:r>
            <w:r w:rsidR="00ED4EED" w:rsidRPr="00CD20BC">
              <w:rPr>
                <w:color w:val="000000" w:themeColor="text1"/>
                <w:sz w:val="20"/>
                <w:szCs w:val="20"/>
              </w:rPr>
              <w:t>%</w:t>
            </w:r>
          </w:p>
        </w:tc>
      </w:tr>
      <w:tr w:rsidR="00E943A3" w:rsidRPr="008D578D" w14:paraId="1CEDA4C5" w14:textId="77777777" w:rsidTr="009E20E6">
        <w:tc>
          <w:tcPr>
            <w:cnfStyle w:val="001000000000" w:firstRow="0" w:lastRow="0" w:firstColumn="1" w:lastColumn="0" w:oddVBand="0" w:evenVBand="0" w:oddHBand="0" w:evenHBand="0" w:firstRowFirstColumn="0" w:firstRowLastColumn="0" w:lastRowFirstColumn="0" w:lastRowLastColumn="0"/>
            <w:tcW w:w="4957" w:type="dxa"/>
          </w:tcPr>
          <w:p w14:paraId="76CFDFB8" w14:textId="1CCFD3F1" w:rsidR="00E943A3" w:rsidRPr="00CB5D48" w:rsidRDefault="00E943A3" w:rsidP="0049104D">
            <w:pPr>
              <w:ind w:left="0" w:firstLine="0"/>
              <w:rPr>
                <w:color w:val="000000" w:themeColor="text1"/>
                <w:sz w:val="20"/>
                <w:szCs w:val="20"/>
              </w:rPr>
            </w:pPr>
            <w:r w:rsidRPr="00CB5D48">
              <w:rPr>
                <w:b w:val="0"/>
                <w:color w:val="000000" w:themeColor="text1"/>
                <w:sz w:val="20"/>
                <w:szCs w:val="20"/>
              </w:rPr>
              <w:t>With-Profits</w:t>
            </w:r>
            <w:r>
              <w:rPr>
                <w:b w:val="0"/>
                <w:color w:val="000000" w:themeColor="text1"/>
                <w:sz w:val="20"/>
                <w:szCs w:val="20"/>
              </w:rPr>
              <w:t xml:space="preserve"> (NU)</w:t>
            </w:r>
          </w:p>
        </w:tc>
        <w:tc>
          <w:tcPr>
            <w:tcW w:w="3543" w:type="dxa"/>
          </w:tcPr>
          <w:p w14:paraId="1FC67E72" w14:textId="3EBA3495" w:rsidR="00E943A3" w:rsidRPr="009B7EFC" w:rsidRDefault="00CD20BC" w:rsidP="00904562">
            <w:pPr>
              <w:ind w:left="0" w:firstLine="0"/>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CD20BC">
              <w:rPr>
                <w:color w:val="000000" w:themeColor="text1"/>
                <w:sz w:val="20"/>
                <w:szCs w:val="20"/>
              </w:rPr>
              <w:t>0.0280%</w:t>
            </w:r>
          </w:p>
        </w:tc>
      </w:tr>
      <w:tr w:rsidR="00E943A3" w:rsidRPr="008D578D" w14:paraId="18AD2BE7" w14:textId="77777777" w:rsidTr="009E20E6">
        <w:tc>
          <w:tcPr>
            <w:cnfStyle w:val="001000000000" w:firstRow="0" w:lastRow="0" w:firstColumn="1" w:lastColumn="0" w:oddVBand="0" w:evenVBand="0" w:oddHBand="0" w:evenHBand="0" w:firstRowFirstColumn="0" w:firstRowLastColumn="0" w:lastRowFirstColumn="0" w:lastRowLastColumn="0"/>
            <w:tcW w:w="4957" w:type="dxa"/>
          </w:tcPr>
          <w:p w14:paraId="3C345714" w14:textId="50C423B7" w:rsidR="00E943A3" w:rsidRPr="00E943A3" w:rsidRDefault="00E943A3" w:rsidP="0049104D">
            <w:pPr>
              <w:ind w:left="0" w:firstLine="0"/>
              <w:rPr>
                <w:b w:val="0"/>
                <w:bCs w:val="0"/>
                <w:color w:val="000000" w:themeColor="text1"/>
                <w:sz w:val="20"/>
                <w:szCs w:val="20"/>
              </w:rPr>
            </w:pPr>
            <w:r w:rsidRPr="00E943A3">
              <w:rPr>
                <w:b w:val="0"/>
                <w:bCs w:val="0"/>
                <w:color w:val="000000" w:themeColor="text1"/>
                <w:sz w:val="20"/>
                <w:szCs w:val="20"/>
              </w:rPr>
              <w:t>Deposit</w:t>
            </w:r>
          </w:p>
        </w:tc>
        <w:tc>
          <w:tcPr>
            <w:tcW w:w="3543" w:type="dxa"/>
          </w:tcPr>
          <w:p w14:paraId="3EFD5B87" w14:textId="58820572" w:rsidR="00E943A3" w:rsidRPr="009B7EFC" w:rsidRDefault="00CD20BC" w:rsidP="00904562">
            <w:pPr>
              <w:ind w:left="0" w:firstLine="0"/>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CD20BC">
              <w:rPr>
                <w:color w:val="000000" w:themeColor="text1"/>
                <w:sz w:val="20"/>
                <w:szCs w:val="20"/>
              </w:rPr>
              <w:t>0.000%</w:t>
            </w:r>
          </w:p>
        </w:tc>
      </w:tr>
    </w:tbl>
    <w:p w14:paraId="216DDE30" w14:textId="77777777" w:rsidR="00F940F0" w:rsidRDefault="00F940F0" w:rsidP="00CB5CDE">
      <w:pPr>
        <w:spacing w:before="240"/>
        <w:ind w:left="0" w:firstLine="0"/>
        <w:rPr>
          <w:b/>
          <w:bCs/>
          <w:i/>
          <w:sz w:val="20"/>
          <w:szCs w:val="20"/>
        </w:rPr>
      </w:pPr>
    </w:p>
    <w:p w14:paraId="1B8A7C3B" w14:textId="77777777" w:rsidR="00F31301" w:rsidRDefault="00F31301" w:rsidP="00CB5CDE">
      <w:pPr>
        <w:spacing w:before="240"/>
        <w:ind w:left="0" w:firstLine="0"/>
        <w:rPr>
          <w:b/>
          <w:bCs/>
          <w:i/>
          <w:sz w:val="20"/>
          <w:szCs w:val="20"/>
        </w:rPr>
      </w:pPr>
    </w:p>
    <w:p w14:paraId="5E71E504" w14:textId="77777777" w:rsidR="00F31301" w:rsidRDefault="00F31301" w:rsidP="00CB5CDE">
      <w:pPr>
        <w:spacing w:before="240"/>
        <w:ind w:left="0" w:firstLine="0"/>
        <w:rPr>
          <w:b/>
          <w:bCs/>
          <w:i/>
          <w:sz w:val="20"/>
          <w:szCs w:val="20"/>
        </w:rPr>
      </w:pPr>
    </w:p>
    <w:p w14:paraId="28400627" w14:textId="76A7E0F4" w:rsidR="004D7E85" w:rsidRDefault="00A83651" w:rsidP="00CB5CDE">
      <w:pPr>
        <w:spacing w:before="240"/>
        <w:ind w:left="0" w:firstLine="0"/>
        <w:rPr>
          <w:b/>
          <w:bCs/>
          <w:i/>
          <w:sz w:val="20"/>
          <w:szCs w:val="20"/>
        </w:rPr>
      </w:pPr>
      <w:r w:rsidRPr="00A83651">
        <w:rPr>
          <w:b/>
          <w:bCs/>
          <w:i/>
          <w:sz w:val="20"/>
          <w:szCs w:val="20"/>
        </w:rPr>
        <w:lastRenderedPageBreak/>
        <w:t>Prudential Transfer Accounts</w:t>
      </w:r>
    </w:p>
    <w:p w14:paraId="116C7C38" w14:textId="6D4891BA" w:rsidR="00A83651" w:rsidRPr="00A83651" w:rsidRDefault="00A83651" w:rsidP="00A6667B">
      <w:pPr>
        <w:ind w:left="0" w:firstLine="0"/>
        <w:rPr>
          <w:i/>
          <w:sz w:val="20"/>
          <w:szCs w:val="20"/>
        </w:rPr>
      </w:pPr>
      <w:r>
        <w:rPr>
          <w:i/>
          <w:sz w:val="20"/>
          <w:szCs w:val="20"/>
        </w:rPr>
        <w:t>Policy TT</w:t>
      </w:r>
      <w:r w:rsidR="00CF7D5E">
        <w:rPr>
          <w:i/>
          <w:sz w:val="20"/>
          <w:szCs w:val="20"/>
        </w:rPr>
        <w:t>P0062</w:t>
      </w:r>
    </w:p>
    <w:tbl>
      <w:tblPr>
        <w:tblStyle w:val="GridTable1Light"/>
        <w:tblW w:w="0" w:type="auto"/>
        <w:tblLook w:val="04A0" w:firstRow="1" w:lastRow="0" w:firstColumn="1" w:lastColumn="0" w:noHBand="0" w:noVBand="1"/>
      </w:tblPr>
      <w:tblGrid>
        <w:gridCol w:w="4957"/>
        <w:gridCol w:w="3543"/>
      </w:tblGrid>
      <w:tr w:rsidR="00715BF1" w:rsidRPr="00715BF1" w14:paraId="38A5EDC9" w14:textId="77777777" w:rsidTr="009E20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shd w:val="clear" w:color="auto" w:fill="BFBFBF" w:themeFill="background1" w:themeFillShade="BF"/>
          </w:tcPr>
          <w:p w14:paraId="5A863D77" w14:textId="77777777" w:rsidR="00D67CD4" w:rsidRPr="00715BF1" w:rsidRDefault="00D67CD4" w:rsidP="006419ED">
            <w:pPr>
              <w:ind w:left="0" w:firstLine="0"/>
              <w:rPr>
                <w:sz w:val="20"/>
                <w:szCs w:val="20"/>
              </w:rPr>
            </w:pPr>
            <w:r w:rsidRPr="00715BF1">
              <w:rPr>
                <w:sz w:val="20"/>
                <w:szCs w:val="20"/>
              </w:rPr>
              <w:t>Fund Name</w:t>
            </w:r>
          </w:p>
        </w:tc>
        <w:tc>
          <w:tcPr>
            <w:tcW w:w="3543" w:type="dxa"/>
            <w:shd w:val="clear" w:color="auto" w:fill="BFBFBF" w:themeFill="background1" w:themeFillShade="BF"/>
          </w:tcPr>
          <w:p w14:paraId="6AF0F2F7" w14:textId="4FB134AF" w:rsidR="00D67CD4" w:rsidRPr="009E20E6" w:rsidRDefault="00D67CD4" w:rsidP="009E20E6">
            <w:pPr>
              <w:spacing w:after="120"/>
              <w:ind w:left="0" w:firstLine="0"/>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6275E">
              <w:rPr>
                <w:sz w:val="20"/>
                <w:szCs w:val="20"/>
              </w:rPr>
              <w:t>Total Transaction</w:t>
            </w:r>
            <w:r w:rsidR="00EB05F4" w:rsidRPr="0006275E">
              <w:rPr>
                <w:sz w:val="20"/>
                <w:szCs w:val="20"/>
              </w:rPr>
              <w:t xml:space="preserve"> Costs for the year ending</w:t>
            </w:r>
            <w:r w:rsidR="009E20E6">
              <w:rPr>
                <w:sz w:val="20"/>
                <w:szCs w:val="20"/>
              </w:rPr>
              <w:t xml:space="preserve"> </w:t>
            </w:r>
            <w:r w:rsidR="000A0A2B" w:rsidRPr="00DB2E46">
              <w:rPr>
                <w:sz w:val="20"/>
                <w:szCs w:val="20"/>
              </w:rPr>
              <w:t>31</w:t>
            </w:r>
            <w:r w:rsidR="004628E3">
              <w:rPr>
                <w:sz w:val="20"/>
                <w:szCs w:val="20"/>
              </w:rPr>
              <w:t xml:space="preserve"> March 202</w:t>
            </w:r>
            <w:r w:rsidR="009B7EFC">
              <w:rPr>
                <w:sz w:val="20"/>
                <w:szCs w:val="20"/>
              </w:rPr>
              <w:t>5</w:t>
            </w:r>
          </w:p>
        </w:tc>
      </w:tr>
      <w:tr w:rsidR="00715BF1" w:rsidRPr="00715BF1" w14:paraId="4AF862C1" w14:textId="77777777" w:rsidTr="009E20E6">
        <w:tc>
          <w:tcPr>
            <w:cnfStyle w:val="001000000000" w:firstRow="0" w:lastRow="0" w:firstColumn="1" w:lastColumn="0" w:oddVBand="0" w:evenVBand="0" w:oddHBand="0" w:evenHBand="0" w:firstRowFirstColumn="0" w:firstRowLastColumn="0" w:lastRowFirstColumn="0" w:lastRowLastColumn="0"/>
            <w:tcW w:w="4957" w:type="dxa"/>
          </w:tcPr>
          <w:p w14:paraId="509FFBD4" w14:textId="77777777" w:rsidR="00D67CD4" w:rsidRPr="004628E3" w:rsidRDefault="00D67CD4" w:rsidP="006419ED">
            <w:pPr>
              <w:ind w:left="0" w:firstLine="0"/>
              <w:rPr>
                <w:b w:val="0"/>
                <w:color w:val="000000" w:themeColor="text1"/>
                <w:sz w:val="20"/>
                <w:szCs w:val="20"/>
              </w:rPr>
            </w:pPr>
            <w:r w:rsidRPr="004628E3">
              <w:rPr>
                <w:b w:val="0"/>
                <w:color w:val="000000" w:themeColor="text1"/>
                <w:sz w:val="20"/>
                <w:szCs w:val="20"/>
              </w:rPr>
              <w:t>With-Profits</w:t>
            </w:r>
          </w:p>
        </w:tc>
        <w:tc>
          <w:tcPr>
            <w:tcW w:w="3543" w:type="dxa"/>
          </w:tcPr>
          <w:p w14:paraId="248CDC9E" w14:textId="59BEBE75" w:rsidR="00D67CD4" w:rsidRPr="004628E3" w:rsidRDefault="00DB2E46" w:rsidP="006419ED">
            <w:pPr>
              <w:ind w:left="0"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A970B7">
              <w:rPr>
                <w:color w:val="000000" w:themeColor="text1"/>
                <w:sz w:val="20"/>
                <w:szCs w:val="20"/>
              </w:rPr>
              <w:t>0.</w:t>
            </w:r>
            <w:r w:rsidR="00BC24F0" w:rsidRPr="00A970B7">
              <w:rPr>
                <w:color w:val="000000" w:themeColor="text1"/>
                <w:sz w:val="20"/>
                <w:szCs w:val="20"/>
              </w:rPr>
              <w:t>1</w:t>
            </w:r>
            <w:r w:rsidR="00A970B7" w:rsidRPr="00A970B7">
              <w:rPr>
                <w:color w:val="000000" w:themeColor="text1"/>
                <w:sz w:val="20"/>
                <w:szCs w:val="20"/>
              </w:rPr>
              <w:t>0%</w:t>
            </w:r>
          </w:p>
        </w:tc>
      </w:tr>
    </w:tbl>
    <w:p w14:paraId="3B862A5C" w14:textId="32B026C4" w:rsidR="00CD6015" w:rsidRPr="00CF7D5E" w:rsidRDefault="00CF7D5E" w:rsidP="00A6667B">
      <w:pPr>
        <w:spacing w:before="240"/>
        <w:ind w:left="0" w:firstLine="0"/>
        <w:rPr>
          <w:i/>
          <w:iCs/>
          <w:sz w:val="20"/>
          <w:szCs w:val="20"/>
        </w:rPr>
      </w:pPr>
      <w:r w:rsidRPr="00CF7D5E">
        <w:rPr>
          <w:i/>
          <w:iCs/>
          <w:sz w:val="20"/>
          <w:szCs w:val="20"/>
        </w:rPr>
        <w:t>Policy M0</w:t>
      </w:r>
      <w:r w:rsidR="002766BB">
        <w:rPr>
          <w:i/>
          <w:iCs/>
          <w:sz w:val="20"/>
          <w:szCs w:val="20"/>
        </w:rPr>
        <w:t>28</w:t>
      </w:r>
    </w:p>
    <w:tbl>
      <w:tblPr>
        <w:tblStyle w:val="GridTable1Light"/>
        <w:tblW w:w="0" w:type="auto"/>
        <w:tblLook w:val="04A0" w:firstRow="1" w:lastRow="0" w:firstColumn="1" w:lastColumn="0" w:noHBand="0" w:noVBand="1"/>
      </w:tblPr>
      <w:tblGrid>
        <w:gridCol w:w="4957"/>
        <w:gridCol w:w="3543"/>
      </w:tblGrid>
      <w:tr w:rsidR="00715BF1" w:rsidRPr="00715BF1" w14:paraId="489A9B47" w14:textId="77777777" w:rsidTr="009E20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shd w:val="clear" w:color="auto" w:fill="BFBFBF" w:themeFill="background1" w:themeFillShade="BF"/>
          </w:tcPr>
          <w:p w14:paraId="1C66D246" w14:textId="77777777" w:rsidR="00D67CD4" w:rsidRPr="008F48AE" w:rsidRDefault="00D67CD4" w:rsidP="006419ED">
            <w:pPr>
              <w:ind w:left="0" w:firstLine="0"/>
              <w:rPr>
                <w:color w:val="000000" w:themeColor="text1"/>
                <w:sz w:val="20"/>
                <w:szCs w:val="20"/>
              </w:rPr>
            </w:pPr>
            <w:r w:rsidRPr="008F48AE">
              <w:rPr>
                <w:color w:val="000000" w:themeColor="text1"/>
                <w:sz w:val="20"/>
                <w:szCs w:val="20"/>
              </w:rPr>
              <w:t>Fund Name</w:t>
            </w:r>
          </w:p>
        </w:tc>
        <w:tc>
          <w:tcPr>
            <w:tcW w:w="3543" w:type="dxa"/>
            <w:shd w:val="clear" w:color="auto" w:fill="BFBFBF" w:themeFill="background1" w:themeFillShade="BF"/>
          </w:tcPr>
          <w:p w14:paraId="2F9D8240" w14:textId="7741EC36" w:rsidR="000A0A2B" w:rsidRPr="008F48AE" w:rsidRDefault="00D67CD4" w:rsidP="009E20E6">
            <w:pPr>
              <w:spacing w:after="120"/>
              <w:ind w:left="0" w:firstLine="0"/>
              <w:jc w:val="center"/>
              <w:cnfStyle w:val="100000000000" w:firstRow="1" w:lastRow="0" w:firstColumn="0" w:lastColumn="0" w:oddVBand="0" w:evenVBand="0" w:oddHBand="0" w:evenHBand="0" w:firstRowFirstColumn="0" w:firstRowLastColumn="0" w:lastRowFirstColumn="0" w:lastRowLastColumn="0"/>
              <w:rPr>
                <w:b w:val="0"/>
                <w:color w:val="000000" w:themeColor="text1"/>
                <w:sz w:val="20"/>
                <w:szCs w:val="20"/>
                <w:vertAlign w:val="superscript"/>
              </w:rPr>
            </w:pPr>
            <w:r w:rsidRPr="008F48AE">
              <w:rPr>
                <w:color w:val="000000" w:themeColor="text1"/>
                <w:sz w:val="20"/>
                <w:szCs w:val="20"/>
              </w:rPr>
              <w:t>Total Transaction</w:t>
            </w:r>
            <w:r w:rsidR="00EB05F4" w:rsidRPr="008F48AE">
              <w:rPr>
                <w:color w:val="000000" w:themeColor="text1"/>
                <w:sz w:val="20"/>
                <w:szCs w:val="20"/>
              </w:rPr>
              <w:t xml:space="preserve"> Costs for the year ending</w:t>
            </w:r>
            <w:r w:rsidR="009E20E6" w:rsidRPr="008F48AE">
              <w:rPr>
                <w:color w:val="000000" w:themeColor="text1"/>
                <w:sz w:val="20"/>
                <w:szCs w:val="20"/>
              </w:rPr>
              <w:t xml:space="preserve"> </w:t>
            </w:r>
            <w:r w:rsidR="00A970B7">
              <w:rPr>
                <w:color w:val="000000" w:themeColor="text1"/>
                <w:sz w:val="20"/>
                <w:szCs w:val="20"/>
              </w:rPr>
              <w:t>31 March 2025</w:t>
            </w:r>
          </w:p>
        </w:tc>
      </w:tr>
      <w:tr w:rsidR="00715BF1" w:rsidRPr="00715BF1" w14:paraId="76EB706A" w14:textId="77777777" w:rsidTr="009E20E6">
        <w:tc>
          <w:tcPr>
            <w:cnfStyle w:val="001000000000" w:firstRow="0" w:lastRow="0" w:firstColumn="1" w:lastColumn="0" w:oddVBand="0" w:evenVBand="0" w:oddHBand="0" w:evenHBand="0" w:firstRowFirstColumn="0" w:firstRowLastColumn="0" w:lastRowFirstColumn="0" w:lastRowLastColumn="0"/>
            <w:tcW w:w="4957" w:type="dxa"/>
          </w:tcPr>
          <w:p w14:paraId="6E43DE50" w14:textId="2CB97AA9" w:rsidR="00D67CD4" w:rsidRPr="008F48AE" w:rsidRDefault="00C55474" w:rsidP="006419ED">
            <w:pPr>
              <w:ind w:left="0" w:firstLine="0"/>
              <w:rPr>
                <w:b w:val="0"/>
                <w:color w:val="000000" w:themeColor="text1"/>
                <w:sz w:val="20"/>
                <w:szCs w:val="20"/>
                <w:vertAlign w:val="superscript"/>
              </w:rPr>
            </w:pPr>
            <w:r w:rsidRPr="008F48AE">
              <w:rPr>
                <w:b w:val="0"/>
                <w:color w:val="000000" w:themeColor="text1"/>
                <w:sz w:val="20"/>
                <w:szCs w:val="20"/>
              </w:rPr>
              <w:t xml:space="preserve">Dynamic </w:t>
            </w:r>
            <w:r w:rsidR="00465A87" w:rsidRPr="008F48AE">
              <w:rPr>
                <w:b w:val="0"/>
                <w:color w:val="000000" w:themeColor="text1"/>
                <w:sz w:val="20"/>
                <w:szCs w:val="20"/>
              </w:rPr>
              <w:t>Global Equity Passive</w:t>
            </w:r>
            <w:r w:rsidR="008C1960" w:rsidRPr="008C1960">
              <w:rPr>
                <w:b w:val="0"/>
                <w:color w:val="000000" w:themeColor="text1"/>
                <w:sz w:val="20"/>
                <w:szCs w:val="20"/>
                <w:vertAlign w:val="superscript"/>
              </w:rPr>
              <w:t>1</w:t>
            </w:r>
          </w:p>
        </w:tc>
        <w:tc>
          <w:tcPr>
            <w:tcW w:w="3543" w:type="dxa"/>
          </w:tcPr>
          <w:p w14:paraId="3CB49601" w14:textId="3A25AE4D" w:rsidR="00D67CD4" w:rsidRPr="009B7EFC" w:rsidRDefault="00DC531B" w:rsidP="006419ED">
            <w:pPr>
              <w:ind w:left="0" w:firstLine="0"/>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970B7">
              <w:rPr>
                <w:color w:val="000000" w:themeColor="text1"/>
                <w:sz w:val="20"/>
                <w:szCs w:val="20"/>
              </w:rPr>
              <w:t>0.</w:t>
            </w:r>
            <w:r w:rsidR="00A970B7" w:rsidRPr="00A970B7">
              <w:rPr>
                <w:color w:val="000000" w:themeColor="text1"/>
                <w:sz w:val="20"/>
                <w:szCs w:val="20"/>
              </w:rPr>
              <w:t>11</w:t>
            </w:r>
            <w:r w:rsidR="0084200C" w:rsidRPr="00A970B7">
              <w:rPr>
                <w:color w:val="000000" w:themeColor="text1"/>
                <w:sz w:val="20"/>
                <w:szCs w:val="20"/>
              </w:rPr>
              <w:t>%</w:t>
            </w:r>
          </w:p>
        </w:tc>
      </w:tr>
      <w:tr w:rsidR="00715BF1" w:rsidRPr="00715BF1" w14:paraId="39676D0D" w14:textId="77777777" w:rsidTr="009E20E6">
        <w:tc>
          <w:tcPr>
            <w:cnfStyle w:val="001000000000" w:firstRow="0" w:lastRow="0" w:firstColumn="1" w:lastColumn="0" w:oddVBand="0" w:evenVBand="0" w:oddHBand="0" w:evenHBand="0" w:firstRowFirstColumn="0" w:firstRowLastColumn="0" w:lastRowFirstColumn="0" w:lastRowLastColumn="0"/>
            <w:tcW w:w="4957" w:type="dxa"/>
          </w:tcPr>
          <w:p w14:paraId="41447A5C" w14:textId="772F4D18" w:rsidR="00D67CD4" w:rsidRPr="008F48AE" w:rsidRDefault="00443B0F" w:rsidP="006419ED">
            <w:pPr>
              <w:ind w:left="0" w:firstLine="0"/>
              <w:rPr>
                <w:b w:val="0"/>
                <w:color w:val="000000" w:themeColor="text1"/>
                <w:sz w:val="20"/>
                <w:szCs w:val="20"/>
                <w:vertAlign w:val="superscript"/>
              </w:rPr>
            </w:pPr>
            <w:r w:rsidRPr="008F48AE">
              <w:rPr>
                <w:b w:val="0"/>
                <w:color w:val="000000" w:themeColor="text1"/>
                <w:sz w:val="20"/>
                <w:szCs w:val="20"/>
              </w:rPr>
              <w:t>BlackRock Aquila All Stocks Corporate Bond Index</w:t>
            </w:r>
            <w:r w:rsidR="008C1960" w:rsidRPr="008C1960">
              <w:rPr>
                <w:b w:val="0"/>
                <w:color w:val="000000" w:themeColor="text1"/>
                <w:sz w:val="20"/>
                <w:szCs w:val="20"/>
                <w:vertAlign w:val="superscript"/>
              </w:rPr>
              <w:t>1</w:t>
            </w:r>
          </w:p>
        </w:tc>
        <w:tc>
          <w:tcPr>
            <w:tcW w:w="3543" w:type="dxa"/>
          </w:tcPr>
          <w:p w14:paraId="7B16EBF7" w14:textId="0FED12FD" w:rsidR="00D67CD4" w:rsidRPr="009B7EFC" w:rsidRDefault="007A0567" w:rsidP="006419ED">
            <w:pPr>
              <w:ind w:left="0" w:firstLine="0"/>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970B7">
              <w:rPr>
                <w:color w:val="000000" w:themeColor="text1"/>
                <w:sz w:val="20"/>
                <w:szCs w:val="20"/>
              </w:rPr>
              <w:t>0.</w:t>
            </w:r>
            <w:r w:rsidR="00A970B7" w:rsidRPr="00A970B7">
              <w:rPr>
                <w:color w:val="000000" w:themeColor="text1"/>
                <w:sz w:val="20"/>
                <w:szCs w:val="20"/>
              </w:rPr>
              <w:t>10</w:t>
            </w:r>
            <w:r w:rsidR="00D67CD4" w:rsidRPr="00A970B7">
              <w:rPr>
                <w:color w:val="000000" w:themeColor="text1"/>
                <w:sz w:val="20"/>
                <w:szCs w:val="20"/>
              </w:rPr>
              <w:t>%</w:t>
            </w:r>
          </w:p>
        </w:tc>
      </w:tr>
      <w:tr w:rsidR="00715BF1" w:rsidRPr="00715BF1" w14:paraId="1345016D" w14:textId="77777777" w:rsidTr="009E20E6">
        <w:tc>
          <w:tcPr>
            <w:cnfStyle w:val="001000000000" w:firstRow="0" w:lastRow="0" w:firstColumn="1" w:lastColumn="0" w:oddVBand="0" w:evenVBand="0" w:oddHBand="0" w:evenHBand="0" w:firstRowFirstColumn="0" w:firstRowLastColumn="0" w:lastRowFirstColumn="0" w:lastRowLastColumn="0"/>
            <w:tcW w:w="4957" w:type="dxa"/>
          </w:tcPr>
          <w:p w14:paraId="4FCF4B30" w14:textId="56E11DCB" w:rsidR="00D67CD4" w:rsidRPr="008F48AE" w:rsidRDefault="00443B0F" w:rsidP="006419ED">
            <w:pPr>
              <w:ind w:left="0" w:firstLine="0"/>
              <w:rPr>
                <w:b w:val="0"/>
                <w:color w:val="000000" w:themeColor="text1"/>
                <w:sz w:val="20"/>
                <w:szCs w:val="20"/>
                <w:vertAlign w:val="superscript"/>
              </w:rPr>
            </w:pPr>
            <w:r w:rsidRPr="008F48AE">
              <w:rPr>
                <w:b w:val="0"/>
                <w:color w:val="000000" w:themeColor="text1"/>
                <w:sz w:val="20"/>
                <w:szCs w:val="20"/>
              </w:rPr>
              <w:t>BlackRock Aquila Over 15 Years UK Gilt Index</w:t>
            </w:r>
            <w:r w:rsidR="008C1960" w:rsidRPr="008C1960">
              <w:rPr>
                <w:b w:val="0"/>
                <w:color w:val="000000" w:themeColor="text1"/>
                <w:sz w:val="20"/>
                <w:szCs w:val="20"/>
                <w:vertAlign w:val="superscript"/>
              </w:rPr>
              <w:t>1,</w:t>
            </w:r>
            <w:r w:rsidR="00C97C1F" w:rsidRPr="008F48AE">
              <w:rPr>
                <w:b w:val="0"/>
                <w:color w:val="000000" w:themeColor="text1"/>
                <w:sz w:val="20"/>
                <w:szCs w:val="20"/>
                <w:vertAlign w:val="superscript"/>
              </w:rPr>
              <w:t>2</w:t>
            </w:r>
          </w:p>
        </w:tc>
        <w:tc>
          <w:tcPr>
            <w:tcW w:w="3543" w:type="dxa"/>
          </w:tcPr>
          <w:p w14:paraId="5E844481" w14:textId="31AD2757" w:rsidR="00D67CD4" w:rsidRPr="009B7EFC" w:rsidRDefault="00A970B7" w:rsidP="006419ED">
            <w:pPr>
              <w:ind w:left="0" w:firstLine="0"/>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970B7">
              <w:rPr>
                <w:color w:val="000000" w:themeColor="text1"/>
                <w:sz w:val="20"/>
                <w:szCs w:val="20"/>
              </w:rPr>
              <w:t>0.00%</w:t>
            </w:r>
          </w:p>
        </w:tc>
      </w:tr>
      <w:tr w:rsidR="00AE170E" w:rsidRPr="00715BF1" w14:paraId="6B86129A" w14:textId="77777777" w:rsidTr="009E20E6">
        <w:tc>
          <w:tcPr>
            <w:cnfStyle w:val="001000000000" w:firstRow="0" w:lastRow="0" w:firstColumn="1" w:lastColumn="0" w:oddVBand="0" w:evenVBand="0" w:oddHBand="0" w:evenHBand="0" w:firstRowFirstColumn="0" w:firstRowLastColumn="0" w:lastRowFirstColumn="0" w:lastRowLastColumn="0"/>
            <w:tcW w:w="4957" w:type="dxa"/>
          </w:tcPr>
          <w:p w14:paraId="7BF6FA27" w14:textId="18D4AFA2" w:rsidR="00AE170E" w:rsidRPr="008F48AE" w:rsidRDefault="00AE170E" w:rsidP="00AE170E">
            <w:pPr>
              <w:ind w:left="0" w:firstLine="0"/>
              <w:rPr>
                <w:b w:val="0"/>
                <w:bCs w:val="0"/>
                <w:color w:val="000000" w:themeColor="text1"/>
                <w:sz w:val="20"/>
                <w:szCs w:val="20"/>
              </w:rPr>
            </w:pPr>
            <w:r w:rsidRPr="008F48AE">
              <w:rPr>
                <w:b w:val="0"/>
                <w:bCs w:val="0"/>
                <w:color w:val="000000" w:themeColor="text1"/>
                <w:sz w:val="20"/>
                <w:szCs w:val="20"/>
              </w:rPr>
              <w:t>BlackRock UK Equity Index</w:t>
            </w:r>
          </w:p>
        </w:tc>
        <w:tc>
          <w:tcPr>
            <w:tcW w:w="3543" w:type="dxa"/>
          </w:tcPr>
          <w:p w14:paraId="4CE79684" w14:textId="38CB360C" w:rsidR="00AE170E" w:rsidRPr="009B7EFC" w:rsidRDefault="007A0567" w:rsidP="00AE170E">
            <w:pPr>
              <w:ind w:left="0" w:firstLine="0"/>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970B7">
              <w:rPr>
                <w:color w:val="000000" w:themeColor="text1"/>
                <w:sz w:val="20"/>
                <w:szCs w:val="20"/>
              </w:rPr>
              <w:t>0.0</w:t>
            </w:r>
            <w:r w:rsidR="00A970B7" w:rsidRPr="00A970B7">
              <w:rPr>
                <w:color w:val="000000" w:themeColor="text1"/>
                <w:sz w:val="20"/>
                <w:szCs w:val="20"/>
              </w:rPr>
              <w:t>3</w:t>
            </w:r>
            <w:r w:rsidR="00EA7B3C" w:rsidRPr="00A970B7">
              <w:rPr>
                <w:color w:val="000000" w:themeColor="text1"/>
                <w:sz w:val="20"/>
                <w:szCs w:val="20"/>
              </w:rPr>
              <w:t>%</w:t>
            </w:r>
          </w:p>
        </w:tc>
      </w:tr>
      <w:tr w:rsidR="00AE170E" w:rsidRPr="00715BF1" w14:paraId="027DC6D3" w14:textId="77777777" w:rsidTr="009E20E6">
        <w:tc>
          <w:tcPr>
            <w:cnfStyle w:val="001000000000" w:firstRow="0" w:lastRow="0" w:firstColumn="1" w:lastColumn="0" w:oddVBand="0" w:evenVBand="0" w:oddHBand="0" w:evenHBand="0" w:firstRowFirstColumn="0" w:firstRowLastColumn="0" w:lastRowFirstColumn="0" w:lastRowLastColumn="0"/>
            <w:tcW w:w="4957" w:type="dxa"/>
          </w:tcPr>
          <w:p w14:paraId="1AC18494" w14:textId="5DAEA4E5" w:rsidR="00AE170E" w:rsidRPr="008F48AE" w:rsidRDefault="00AE170E" w:rsidP="00AE170E">
            <w:pPr>
              <w:ind w:left="0" w:firstLine="0"/>
              <w:rPr>
                <w:b w:val="0"/>
                <w:bCs w:val="0"/>
                <w:color w:val="000000" w:themeColor="text1"/>
                <w:sz w:val="20"/>
                <w:szCs w:val="20"/>
              </w:rPr>
            </w:pPr>
            <w:r w:rsidRPr="008F48AE">
              <w:rPr>
                <w:b w:val="0"/>
                <w:bCs w:val="0"/>
                <w:color w:val="000000" w:themeColor="text1"/>
                <w:sz w:val="20"/>
                <w:szCs w:val="20"/>
              </w:rPr>
              <w:t>BlackRock World ex-UK Index</w:t>
            </w:r>
          </w:p>
        </w:tc>
        <w:tc>
          <w:tcPr>
            <w:tcW w:w="3543" w:type="dxa"/>
          </w:tcPr>
          <w:p w14:paraId="0D07E235" w14:textId="02DB1CB2" w:rsidR="00AE170E" w:rsidRPr="009B7EFC" w:rsidRDefault="00104260" w:rsidP="00AE170E">
            <w:pPr>
              <w:ind w:left="0" w:firstLine="0"/>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970B7">
              <w:rPr>
                <w:color w:val="000000" w:themeColor="text1"/>
                <w:sz w:val="20"/>
                <w:szCs w:val="20"/>
              </w:rPr>
              <w:t>0.0</w:t>
            </w:r>
            <w:r w:rsidR="00A970B7" w:rsidRPr="00A970B7">
              <w:rPr>
                <w:color w:val="000000" w:themeColor="text1"/>
                <w:sz w:val="20"/>
                <w:szCs w:val="20"/>
              </w:rPr>
              <w:t>1</w:t>
            </w:r>
            <w:r w:rsidR="00A117C9" w:rsidRPr="00A970B7">
              <w:rPr>
                <w:color w:val="000000" w:themeColor="text1"/>
                <w:sz w:val="20"/>
                <w:szCs w:val="20"/>
              </w:rPr>
              <w:t>%</w:t>
            </w:r>
          </w:p>
        </w:tc>
      </w:tr>
      <w:tr w:rsidR="00AE170E" w:rsidRPr="00715BF1" w14:paraId="4750CB58" w14:textId="77777777" w:rsidTr="009E20E6">
        <w:tc>
          <w:tcPr>
            <w:cnfStyle w:val="001000000000" w:firstRow="0" w:lastRow="0" w:firstColumn="1" w:lastColumn="0" w:oddVBand="0" w:evenVBand="0" w:oddHBand="0" w:evenHBand="0" w:firstRowFirstColumn="0" w:firstRowLastColumn="0" w:lastRowFirstColumn="0" w:lastRowLastColumn="0"/>
            <w:tcW w:w="4957" w:type="dxa"/>
          </w:tcPr>
          <w:p w14:paraId="67632478" w14:textId="13F94A93" w:rsidR="00AE170E" w:rsidRPr="008F48AE" w:rsidRDefault="00AE170E" w:rsidP="00AE170E">
            <w:pPr>
              <w:ind w:left="0" w:firstLine="0"/>
              <w:rPr>
                <w:b w:val="0"/>
                <w:bCs w:val="0"/>
                <w:color w:val="000000" w:themeColor="text1"/>
                <w:sz w:val="20"/>
                <w:szCs w:val="20"/>
              </w:rPr>
            </w:pPr>
            <w:r w:rsidRPr="008F48AE">
              <w:rPr>
                <w:b w:val="0"/>
                <w:bCs w:val="0"/>
                <w:color w:val="000000" w:themeColor="text1"/>
                <w:sz w:val="20"/>
                <w:szCs w:val="20"/>
              </w:rPr>
              <w:t>Index-Linked Passive</w:t>
            </w:r>
          </w:p>
        </w:tc>
        <w:tc>
          <w:tcPr>
            <w:tcW w:w="3543" w:type="dxa"/>
          </w:tcPr>
          <w:p w14:paraId="617B03E1" w14:textId="38579B9B" w:rsidR="00AE170E" w:rsidRPr="009B7EFC" w:rsidRDefault="00104260" w:rsidP="00AE170E">
            <w:pPr>
              <w:ind w:left="0" w:firstLine="0"/>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970B7">
              <w:rPr>
                <w:color w:val="000000" w:themeColor="text1"/>
                <w:sz w:val="20"/>
                <w:szCs w:val="20"/>
              </w:rPr>
              <w:t>0.0</w:t>
            </w:r>
            <w:r w:rsidR="00A970B7" w:rsidRPr="00A970B7">
              <w:rPr>
                <w:color w:val="000000" w:themeColor="text1"/>
                <w:sz w:val="20"/>
                <w:szCs w:val="20"/>
              </w:rPr>
              <w:t>7</w:t>
            </w:r>
            <w:r w:rsidR="00A117C9" w:rsidRPr="00A970B7">
              <w:rPr>
                <w:color w:val="000000" w:themeColor="text1"/>
                <w:sz w:val="20"/>
                <w:szCs w:val="20"/>
              </w:rPr>
              <w:t>%</w:t>
            </w:r>
          </w:p>
        </w:tc>
      </w:tr>
      <w:tr w:rsidR="00715BF1" w:rsidRPr="00715BF1" w14:paraId="1A36BC41" w14:textId="77777777" w:rsidTr="009E20E6">
        <w:tc>
          <w:tcPr>
            <w:cnfStyle w:val="001000000000" w:firstRow="0" w:lastRow="0" w:firstColumn="1" w:lastColumn="0" w:oddVBand="0" w:evenVBand="0" w:oddHBand="0" w:evenHBand="0" w:firstRowFirstColumn="0" w:firstRowLastColumn="0" w:lastRowFirstColumn="0" w:lastRowLastColumn="0"/>
            <w:tcW w:w="4957" w:type="dxa"/>
          </w:tcPr>
          <w:p w14:paraId="5954700A" w14:textId="4FBBE7E8" w:rsidR="00D67CD4" w:rsidRPr="008F48AE" w:rsidRDefault="00443B0F" w:rsidP="006419ED">
            <w:pPr>
              <w:ind w:left="0" w:firstLine="0"/>
              <w:rPr>
                <w:b w:val="0"/>
                <w:color w:val="000000" w:themeColor="text1"/>
                <w:sz w:val="20"/>
                <w:szCs w:val="20"/>
                <w:vertAlign w:val="superscript"/>
              </w:rPr>
            </w:pPr>
            <w:r w:rsidRPr="008F48AE">
              <w:rPr>
                <w:b w:val="0"/>
                <w:color w:val="000000" w:themeColor="text1"/>
                <w:sz w:val="20"/>
                <w:szCs w:val="20"/>
              </w:rPr>
              <w:t>Cash</w:t>
            </w:r>
            <w:r w:rsidR="008C1960" w:rsidRPr="008C1960">
              <w:rPr>
                <w:b w:val="0"/>
                <w:color w:val="000000" w:themeColor="text1"/>
                <w:sz w:val="20"/>
                <w:szCs w:val="20"/>
                <w:vertAlign w:val="superscript"/>
              </w:rPr>
              <w:t>1</w:t>
            </w:r>
          </w:p>
        </w:tc>
        <w:tc>
          <w:tcPr>
            <w:tcW w:w="3543" w:type="dxa"/>
          </w:tcPr>
          <w:p w14:paraId="175B0760" w14:textId="560D18D5" w:rsidR="00D67CD4" w:rsidRPr="009B7EFC" w:rsidRDefault="005839D4" w:rsidP="006419ED">
            <w:pPr>
              <w:ind w:left="0" w:firstLine="0"/>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970B7">
              <w:rPr>
                <w:color w:val="000000" w:themeColor="text1"/>
                <w:sz w:val="20"/>
                <w:szCs w:val="20"/>
              </w:rPr>
              <w:t>0.0</w:t>
            </w:r>
            <w:r w:rsidR="00A970B7" w:rsidRPr="00A970B7">
              <w:rPr>
                <w:color w:val="000000" w:themeColor="text1"/>
                <w:sz w:val="20"/>
                <w:szCs w:val="20"/>
              </w:rPr>
              <w:t>0</w:t>
            </w:r>
            <w:r w:rsidR="00D67CD4" w:rsidRPr="00A970B7">
              <w:rPr>
                <w:color w:val="000000" w:themeColor="text1"/>
                <w:sz w:val="20"/>
                <w:szCs w:val="20"/>
              </w:rPr>
              <w:t>%</w:t>
            </w:r>
          </w:p>
        </w:tc>
      </w:tr>
    </w:tbl>
    <w:p w14:paraId="2B4F0489" w14:textId="77777777" w:rsidR="00A970B7" w:rsidRDefault="00A970B7" w:rsidP="00A970B7">
      <w:pPr>
        <w:pStyle w:val="ListParagraph"/>
        <w:spacing w:before="0" w:after="0"/>
        <w:ind w:left="417" w:firstLine="0"/>
        <w:rPr>
          <w:bCs/>
          <w:color w:val="000000" w:themeColor="text1"/>
          <w:sz w:val="16"/>
          <w:szCs w:val="16"/>
        </w:rPr>
      </w:pPr>
    </w:p>
    <w:p w14:paraId="07F16FCD" w14:textId="3AB776A2" w:rsidR="00163A34" w:rsidRPr="00A970B7" w:rsidRDefault="00C240A3" w:rsidP="00163A34">
      <w:pPr>
        <w:pStyle w:val="ListParagraph"/>
        <w:numPr>
          <w:ilvl w:val="0"/>
          <w:numId w:val="40"/>
        </w:numPr>
        <w:spacing w:before="0" w:after="0"/>
        <w:ind w:left="417"/>
        <w:rPr>
          <w:bCs/>
          <w:color w:val="000000" w:themeColor="text1"/>
          <w:sz w:val="16"/>
          <w:szCs w:val="16"/>
        </w:rPr>
      </w:pPr>
      <w:r w:rsidRPr="00A970B7">
        <w:rPr>
          <w:bCs/>
          <w:color w:val="000000" w:themeColor="text1"/>
          <w:sz w:val="16"/>
          <w:szCs w:val="16"/>
        </w:rPr>
        <w:t>Funds used in the lifestyle investment stra</w:t>
      </w:r>
      <w:r w:rsidR="00C97C1F" w:rsidRPr="00A970B7">
        <w:rPr>
          <w:bCs/>
          <w:color w:val="000000" w:themeColor="text1"/>
          <w:sz w:val="16"/>
          <w:szCs w:val="16"/>
        </w:rPr>
        <w:t>tegy</w:t>
      </w:r>
    </w:p>
    <w:p w14:paraId="0F0D725E" w14:textId="488C1233" w:rsidR="00163A34" w:rsidRPr="00F940F0" w:rsidRDefault="00163A34" w:rsidP="00163A34">
      <w:pPr>
        <w:pStyle w:val="ListParagraph"/>
        <w:numPr>
          <w:ilvl w:val="0"/>
          <w:numId w:val="40"/>
        </w:numPr>
        <w:spacing w:before="0" w:after="0"/>
        <w:ind w:left="417"/>
        <w:rPr>
          <w:bCs/>
          <w:color w:val="000000" w:themeColor="text1"/>
          <w:sz w:val="16"/>
          <w:szCs w:val="16"/>
        </w:rPr>
      </w:pPr>
      <w:r w:rsidRPr="00F940F0">
        <w:rPr>
          <w:rFonts w:eastAsia="Source Sans Pro" w:cs="Arial"/>
          <w:bCs/>
          <w:color w:val="000000" w:themeColor="text1"/>
          <w:sz w:val="16"/>
          <w:szCs w:val="16"/>
        </w:rPr>
        <w:t xml:space="preserve">During the year to 31 </w:t>
      </w:r>
      <w:r w:rsidR="00F940F0" w:rsidRPr="00F940F0">
        <w:rPr>
          <w:rFonts w:eastAsia="Source Sans Pro" w:cs="Arial"/>
          <w:bCs/>
          <w:color w:val="000000" w:themeColor="text1"/>
          <w:sz w:val="16"/>
          <w:szCs w:val="16"/>
        </w:rPr>
        <w:t>March</w:t>
      </w:r>
      <w:r w:rsidRPr="00F940F0">
        <w:rPr>
          <w:rFonts w:eastAsia="Source Sans Pro" w:cs="Arial"/>
          <w:bCs/>
          <w:color w:val="000000" w:themeColor="text1"/>
          <w:sz w:val="16"/>
          <w:szCs w:val="16"/>
        </w:rPr>
        <w:t>, these funds had negative transaction costs</w:t>
      </w:r>
    </w:p>
    <w:p w14:paraId="4E1750F6" w14:textId="34AC0814" w:rsidR="00443B0F" w:rsidRPr="00715BF1" w:rsidRDefault="00443B0F" w:rsidP="00EF0E1B">
      <w:pPr>
        <w:spacing w:before="240"/>
        <w:ind w:left="0" w:firstLine="0"/>
        <w:jc w:val="both"/>
        <w:rPr>
          <w:b/>
          <w:sz w:val="20"/>
          <w:szCs w:val="20"/>
        </w:rPr>
      </w:pPr>
      <w:r w:rsidRPr="00715BF1">
        <w:rPr>
          <w:b/>
          <w:sz w:val="20"/>
          <w:szCs w:val="20"/>
        </w:rPr>
        <w:t xml:space="preserve">The impact of </w:t>
      </w:r>
      <w:r w:rsidR="008F74CA" w:rsidRPr="00715BF1">
        <w:rPr>
          <w:b/>
          <w:sz w:val="20"/>
          <w:szCs w:val="20"/>
        </w:rPr>
        <w:t xml:space="preserve">annual </w:t>
      </w:r>
      <w:r w:rsidRPr="00715BF1">
        <w:rPr>
          <w:b/>
          <w:sz w:val="20"/>
          <w:szCs w:val="20"/>
        </w:rPr>
        <w:t xml:space="preserve">charges and transaction costs </w:t>
      </w:r>
      <w:r w:rsidR="00E666DD">
        <w:rPr>
          <w:b/>
          <w:sz w:val="20"/>
          <w:szCs w:val="20"/>
        </w:rPr>
        <w:t xml:space="preserve">on </w:t>
      </w:r>
      <w:r w:rsidR="00422AEC">
        <w:rPr>
          <w:b/>
          <w:sz w:val="20"/>
          <w:szCs w:val="20"/>
        </w:rPr>
        <w:t>members</w:t>
      </w:r>
      <w:r w:rsidR="008E769D">
        <w:rPr>
          <w:b/>
          <w:sz w:val="20"/>
          <w:szCs w:val="20"/>
        </w:rPr>
        <w:t>’</w:t>
      </w:r>
      <w:r w:rsidR="00422AEC">
        <w:rPr>
          <w:b/>
          <w:sz w:val="20"/>
          <w:szCs w:val="20"/>
        </w:rPr>
        <w:t xml:space="preserve"> benefits</w:t>
      </w:r>
    </w:p>
    <w:p w14:paraId="1B7D1311" w14:textId="381AB540" w:rsidR="004D4B6F" w:rsidRPr="004D4B6F" w:rsidRDefault="004D4B6F" w:rsidP="00EF0E1B">
      <w:pPr>
        <w:ind w:left="0" w:firstLine="0"/>
        <w:jc w:val="both"/>
        <w:rPr>
          <w:sz w:val="20"/>
          <w:szCs w:val="20"/>
        </w:rPr>
      </w:pPr>
      <w:r w:rsidRPr="004D4B6F">
        <w:rPr>
          <w:sz w:val="20"/>
          <w:szCs w:val="20"/>
        </w:rPr>
        <w:t xml:space="preserve">Over time, the </w:t>
      </w:r>
      <w:r w:rsidR="00422AEC">
        <w:rPr>
          <w:sz w:val="20"/>
          <w:szCs w:val="20"/>
        </w:rPr>
        <w:t xml:space="preserve">annual </w:t>
      </w:r>
      <w:r w:rsidRPr="004D4B6F">
        <w:rPr>
          <w:sz w:val="20"/>
          <w:szCs w:val="20"/>
        </w:rPr>
        <w:t xml:space="preserve">charges and transaction costs that are </w:t>
      </w:r>
      <w:r w:rsidR="00BF4FED">
        <w:rPr>
          <w:sz w:val="20"/>
          <w:szCs w:val="20"/>
        </w:rPr>
        <w:t>paid by</w:t>
      </w:r>
      <w:r w:rsidRPr="004D4B6F">
        <w:rPr>
          <w:sz w:val="20"/>
          <w:szCs w:val="20"/>
        </w:rPr>
        <w:t xml:space="preserve"> members </w:t>
      </w:r>
      <w:r w:rsidR="00BF4FED">
        <w:rPr>
          <w:sz w:val="20"/>
          <w:szCs w:val="20"/>
        </w:rPr>
        <w:t xml:space="preserve">with </w:t>
      </w:r>
      <w:r w:rsidR="00294D3D">
        <w:rPr>
          <w:sz w:val="20"/>
          <w:szCs w:val="20"/>
        </w:rPr>
        <w:t xml:space="preserve">a </w:t>
      </w:r>
      <w:r>
        <w:rPr>
          <w:sz w:val="20"/>
          <w:szCs w:val="20"/>
        </w:rPr>
        <w:t>DC account</w:t>
      </w:r>
      <w:r w:rsidRPr="004D4B6F">
        <w:rPr>
          <w:sz w:val="20"/>
          <w:szCs w:val="20"/>
        </w:rPr>
        <w:t xml:space="preserve"> </w:t>
      </w:r>
      <w:r w:rsidR="009D25F2">
        <w:rPr>
          <w:sz w:val="20"/>
          <w:szCs w:val="20"/>
        </w:rPr>
        <w:t>will</w:t>
      </w:r>
      <w:r w:rsidRPr="004D4B6F">
        <w:rPr>
          <w:sz w:val="20"/>
          <w:szCs w:val="20"/>
        </w:rPr>
        <w:t xml:space="preserve"> reduce the amount available to th</w:t>
      </w:r>
      <w:r w:rsidR="00DA0606">
        <w:rPr>
          <w:sz w:val="20"/>
          <w:szCs w:val="20"/>
        </w:rPr>
        <w:t>em</w:t>
      </w:r>
      <w:r w:rsidRPr="004D4B6F">
        <w:rPr>
          <w:sz w:val="20"/>
          <w:szCs w:val="20"/>
        </w:rPr>
        <w:t xml:space="preserve"> at retirement. </w:t>
      </w:r>
      <w:r>
        <w:rPr>
          <w:sz w:val="20"/>
          <w:szCs w:val="20"/>
        </w:rPr>
        <w:t xml:space="preserve"> </w:t>
      </w:r>
      <w:r w:rsidRPr="004D4B6F">
        <w:rPr>
          <w:sz w:val="20"/>
          <w:szCs w:val="20"/>
        </w:rPr>
        <w:t>The Trustee ha</w:t>
      </w:r>
      <w:r>
        <w:rPr>
          <w:sz w:val="20"/>
          <w:szCs w:val="20"/>
        </w:rPr>
        <w:t>s</w:t>
      </w:r>
      <w:r w:rsidRPr="004D4B6F">
        <w:rPr>
          <w:sz w:val="20"/>
          <w:szCs w:val="20"/>
        </w:rPr>
        <w:t xml:space="preserve"> </w:t>
      </w:r>
      <w:r w:rsidR="0006275E">
        <w:rPr>
          <w:sz w:val="20"/>
          <w:szCs w:val="20"/>
        </w:rPr>
        <w:t xml:space="preserve">therefore </w:t>
      </w:r>
      <w:r w:rsidR="00526FE5">
        <w:rPr>
          <w:sz w:val="20"/>
          <w:szCs w:val="20"/>
        </w:rPr>
        <w:t>provided</w:t>
      </w:r>
      <w:r w:rsidRPr="004D4B6F">
        <w:rPr>
          <w:sz w:val="20"/>
          <w:szCs w:val="20"/>
        </w:rPr>
        <w:t xml:space="preserve"> in the Appendix to this statement illustrations of the impact of </w:t>
      </w:r>
      <w:r w:rsidR="00B3453A">
        <w:rPr>
          <w:sz w:val="20"/>
          <w:szCs w:val="20"/>
        </w:rPr>
        <w:t xml:space="preserve">the </w:t>
      </w:r>
      <w:r w:rsidR="00DA0606">
        <w:rPr>
          <w:sz w:val="20"/>
          <w:szCs w:val="20"/>
        </w:rPr>
        <w:t xml:space="preserve">annual </w:t>
      </w:r>
      <w:r w:rsidRPr="004D4B6F">
        <w:rPr>
          <w:sz w:val="20"/>
          <w:szCs w:val="20"/>
        </w:rPr>
        <w:t xml:space="preserve">charges and transaction costs on different investment options </w:t>
      </w:r>
      <w:r>
        <w:rPr>
          <w:sz w:val="20"/>
          <w:szCs w:val="20"/>
        </w:rPr>
        <w:t>available to members with DC accounts</w:t>
      </w:r>
      <w:r w:rsidRPr="004D4B6F">
        <w:rPr>
          <w:sz w:val="20"/>
          <w:szCs w:val="20"/>
        </w:rPr>
        <w:t xml:space="preserve">. </w:t>
      </w:r>
      <w:r>
        <w:rPr>
          <w:sz w:val="20"/>
          <w:szCs w:val="20"/>
        </w:rPr>
        <w:t xml:space="preserve"> </w:t>
      </w:r>
      <w:r w:rsidRPr="004D4B6F">
        <w:rPr>
          <w:sz w:val="20"/>
          <w:szCs w:val="20"/>
        </w:rPr>
        <w:t>The illustrations have been prepared in accordance with the DWP’s statutory guidance on “Reporting costs, charges and other information: guidance for trustees and managers of occupational pension schemes”.</w:t>
      </w:r>
    </w:p>
    <w:p w14:paraId="6F89C3C2" w14:textId="13F37613" w:rsidR="00443B0F" w:rsidRDefault="004D4B6F" w:rsidP="00EF0E1B">
      <w:pPr>
        <w:ind w:left="0" w:firstLine="0"/>
        <w:jc w:val="both"/>
        <w:rPr>
          <w:sz w:val="20"/>
          <w:szCs w:val="20"/>
        </w:rPr>
      </w:pPr>
      <w:r w:rsidRPr="004D4B6F">
        <w:rPr>
          <w:sz w:val="20"/>
          <w:szCs w:val="20"/>
        </w:rPr>
        <w:t>As each member has a different amount of savings within th</w:t>
      </w:r>
      <w:r>
        <w:rPr>
          <w:sz w:val="20"/>
          <w:szCs w:val="20"/>
        </w:rPr>
        <w:t>eir DC account</w:t>
      </w:r>
      <w:r w:rsidRPr="004D4B6F">
        <w:rPr>
          <w:sz w:val="20"/>
          <w:szCs w:val="20"/>
        </w:rPr>
        <w:t xml:space="preserve"> and the amount of any future </w:t>
      </w:r>
      <w:r w:rsidR="00BC30E2">
        <w:rPr>
          <w:sz w:val="20"/>
          <w:szCs w:val="20"/>
        </w:rPr>
        <w:t xml:space="preserve">annual </w:t>
      </w:r>
      <w:r w:rsidRPr="004D4B6F">
        <w:rPr>
          <w:sz w:val="20"/>
          <w:szCs w:val="20"/>
        </w:rPr>
        <w:t xml:space="preserve">investment returns and future </w:t>
      </w:r>
      <w:r w:rsidR="00BC30E2">
        <w:rPr>
          <w:sz w:val="20"/>
          <w:szCs w:val="20"/>
        </w:rPr>
        <w:t xml:space="preserve">annual </w:t>
      </w:r>
      <w:r w:rsidRPr="004D4B6F">
        <w:rPr>
          <w:sz w:val="20"/>
          <w:szCs w:val="20"/>
        </w:rPr>
        <w:t>costs and charges cannot be known in advance, the Trustee ha</w:t>
      </w:r>
      <w:r>
        <w:rPr>
          <w:sz w:val="20"/>
          <w:szCs w:val="20"/>
        </w:rPr>
        <w:t>s</w:t>
      </w:r>
      <w:r w:rsidRPr="004D4B6F">
        <w:rPr>
          <w:sz w:val="20"/>
          <w:szCs w:val="20"/>
        </w:rPr>
        <w:t xml:space="preserve"> had to make a number of assumptions about what these might be. The</w:t>
      </w:r>
      <w:r>
        <w:rPr>
          <w:sz w:val="20"/>
          <w:szCs w:val="20"/>
        </w:rPr>
        <w:t>se</w:t>
      </w:r>
      <w:r w:rsidRPr="004D4B6F">
        <w:rPr>
          <w:sz w:val="20"/>
          <w:szCs w:val="20"/>
        </w:rPr>
        <w:t xml:space="preserve"> assumptions are </w:t>
      </w:r>
      <w:r>
        <w:rPr>
          <w:sz w:val="20"/>
          <w:szCs w:val="20"/>
        </w:rPr>
        <w:t>shown in the Appendix.</w:t>
      </w:r>
    </w:p>
    <w:p w14:paraId="4209681C" w14:textId="7C721449" w:rsidR="0035420A" w:rsidRPr="00904562" w:rsidRDefault="0035420A" w:rsidP="00D046D3">
      <w:pPr>
        <w:ind w:left="0" w:firstLine="0"/>
        <w:jc w:val="both"/>
        <w:rPr>
          <w:b/>
          <w:sz w:val="20"/>
          <w:szCs w:val="20"/>
        </w:rPr>
      </w:pPr>
      <w:r w:rsidRPr="00904562">
        <w:rPr>
          <w:b/>
          <w:sz w:val="20"/>
          <w:szCs w:val="20"/>
        </w:rPr>
        <w:t>Ensuring the costs and charges provide good value</w:t>
      </w:r>
    </w:p>
    <w:p w14:paraId="1ACBC7AD" w14:textId="0E7C2580" w:rsidR="00603DD7" w:rsidRPr="009422DB" w:rsidRDefault="00603DD7" w:rsidP="00874428">
      <w:pPr>
        <w:ind w:left="0" w:firstLine="0"/>
        <w:jc w:val="both"/>
        <w:rPr>
          <w:sz w:val="20"/>
          <w:szCs w:val="20"/>
        </w:rPr>
      </w:pPr>
      <w:r w:rsidRPr="009422DB">
        <w:rPr>
          <w:iCs/>
          <w:sz w:val="20"/>
          <w:szCs w:val="20"/>
        </w:rPr>
        <w:t xml:space="preserve">The Trustee </w:t>
      </w:r>
      <w:r w:rsidR="00BB48C4" w:rsidRPr="009422DB">
        <w:rPr>
          <w:iCs/>
          <w:sz w:val="20"/>
          <w:szCs w:val="20"/>
        </w:rPr>
        <w:t xml:space="preserve">is </w:t>
      </w:r>
      <w:r w:rsidRPr="009422DB">
        <w:rPr>
          <w:iCs/>
          <w:sz w:val="20"/>
          <w:szCs w:val="20"/>
        </w:rPr>
        <w:t xml:space="preserve">required to assess the extent to which member borne charges and transaction costs represent good value for members. </w:t>
      </w:r>
      <w:r w:rsidR="00BB48C4" w:rsidRPr="009422DB">
        <w:rPr>
          <w:iCs/>
          <w:sz w:val="20"/>
          <w:szCs w:val="20"/>
        </w:rPr>
        <w:t xml:space="preserve"> </w:t>
      </w:r>
      <w:r w:rsidR="00A13234" w:rsidRPr="009422DB">
        <w:rPr>
          <w:iCs/>
          <w:sz w:val="20"/>
          <w:szCs w:val="20"/>
        </w:rPr>
        <w:t>Whilst t</w:t>
      </w:r>
      <w:r w:rsidRPr="009422DB">
        <w:rPr>
          <w:iCs/>
          <w:sz w:val="20"/>
          <w:szCs w:val="20"/>
        </w:rPr>
        <w:t>here is no precise legal definition of “good value”, the Trustee consider</w:t>
      </w:r>
      <w:r w:rsidR="00A13234" w:rsidRPr="009422DB">
        <w:rPr>
          <w:iCs/>
          <w:sz w:val="20"/>
          <w:szCs w:val="20"/>
        </w:rPr>
        <w:t>s</w:t>
      </w:r>
      <w:r w:rsidRPr="009422DB">
        <w:rPr>
          <w:iCs/>
          <w:sz w:val="20"/>
          <w:szCs w:val="20"/>
        </w:rPr>
        <w:t xml:space="preserve"> it broadly means </w:t>
      </w:r>
      <w:r w:rsidRPr="009422DB">
        <w:rPr>
          <w:sz w:val="20"/>
          <w:szCs w:val="20"/>
        </w:rPr>
        <w:t>that the combination of costs</w:t>
      </w:r>
      <w:r w:rsidR="008549DE" w:rsidRPr="009422DB">
        <w:rPr>
          <w:sz w:val="20"/>
          <w:szCs w:val="20"/>
        </w:rPr>
        <w:t xml:space="preserve"> paid by members</w:t>
      </w:r>
      <w:r w:rsidR="00BB48C4" w:rsidRPr="009422DB">
        <w:rPr>
          <w:sz w:val="20"/>
          <w:szCs w:val="20"/>
        </w:rPr>
        <w:t>,</w:t>
      </w:r>
      <w:r w:rsidRPr="009422DB">
        <w:rPr>
          <w:sz w:val="20"/>
          <w:szCs w:val="20"/>
        </w:rPr>
        <w:t xml:space="preserve"> and the quality of </w:t>
      </w:r>
      <w:r w:rsidR="008549DE" w:rsidRPr="009422DB">
        <w:rPr>
          <w:sz w:val="20"/>
          <w:szCs w:val="20"/>
        </w:rPr>
        <w:t>the services</w:t>
      </w:r>
      <w:r w:rsidRPr="009422DB">
        <w:rPr>
          <w:sz w:val="20"/>
          <w:szCs w:val="20"/>
        </w:rPr>
        <w:t xml:space="preserve"> provided</w:t>
      </w:r>
      <w:r w:rsidR="008549DE" w:rsidRPr="009422DB">
        <w:rPr>
          <w:sz w:val="20"/>
          <w:szCs w:val="20"/>
        </w:rPr>
        <w:t xml:space="preserve"> to members</w:t>
      </w:r>
      <w:r w:rsidRPr="009422DB">
        <w:rPr>
          <w:sz w:val="20"/>
          <w:szCs w:val="20"/>
        </w:rPr>
        <w:t xml:space="preserve"> in return for those costs</w:t>
      </w:r>
      <w:r w:rsidR="00BB48C4" w:rsidRPr="009422DB">
        <w:rPr>
          <w:sz w:val="20"/>
          <w:szCs w:val="20"/>
        </w:rPr>
        <w:t>,</w:t>
      </w:r>
      <w:r w:rsidRPr="009422DB">
        <w:rPr>
          <w:sz w:val="20"/>
          <w:szCs w:val="20"/>
        </w:rPr>
        <w:t xml:space="preserve"> is appropriate for</w:t>
      </w:r>
      <w:r w:rsidR="00A13234" w:rsidRPr="009422DB">
        <w:rPr>
          <w:sz w:val="20"/>
          <w:szCs w:val="20"/>
        </w:rPr>
        <w:t xml:space="preserve"> and meets the needs of</w:t>
      </w:r>
      <w:r w:rsidRPr="009422DB">
        <w:rPr>
          <w:sz w:val="20"/>
          <w:szCs w:val="20"/>
        </w:rPr>
        <w:t xml:space="preserve"> members with DC accounts.</w:t>
      </w:r>
      <w:r w:rsidR="0006275E">
        <w:rPr>
          <w:sz w:val="20"/>
          <w:szCs w:val="20"/>
        </w:rPr>
        <w:t xml:space="preserve">  As part of this, the Trustee takes into consideration the fact that the benefits arising from members’ DC accounts are supplemental to their main</w:t>
      </w:r>
      <w:r w:rsidR="007622FC">
        <w:rPr>
          <w:sz w:val="20"/>
          <w:szCs w:val="20"/>
        </w:rPr>
        <w:t xml:space="preserve"> and </w:t>
      </w:r>
      <w:r w:rsidR="00A51ACA">
        <w:rPr>
          <w:sz w:val="20"/>
          <w:szCs w:val="20"/>
        </w:rPr>
        <w:t>larger</w:t>
      </w:r>
      <w:r w:rsidR="0006275E">
        <w:rPr>
          <w:sz w:val="20"/>
          <w:szCs w:val="20"/>
        </w:rPr>
        <w:t xml:space="preserve"> final salary benefits under the Scheme.</w:t>
      </w:r>
    </w:p>
    <w:p w14:paraId="75BEE10D" w14:textId="2A5AF351" w:rsidR="00603DD7" w:rsidRPr="009422DB" w:rsidRDefault="00603DD7" w:rsidP="00874428">
      <w:pPr>
        <w:ind w:left="0" w:firstLine="0"/>
        <w:jc w:val="both"/>
        <w:rPr>
          <w:rStyle w:val="A3"/>
          <w:color w:val="auto"/>
        </w:rPr>
      </w:pPr>
      <w:r w:rsidRPr="009422DB">
        <w:rPr>
          <w:sz w:val="20"/>
          <w:szCs w:val="20"/>
        </w:rPr>
        <w:t xml:space="preserve">The Trustee recognises that good </w:t>
      </w:r>
      <w:r w:rsidRPr="009422DB">
        <w:rPr>
          <w:rStyle w:val="A3"/>
          <w:color w:val="auto"/>
        </w:rPr>
        <w:t>value for members does not necessarily mean the lowest charges, and the overall quality</w:t>
      </w:r>
      <w:r w:rsidR="008549DE" w:rsidRPr="009422DB">
        <w:rPr>
          <w:rStyle w:val="A3"/>
          <w:color w:val="auto"/>
        </w:rPr>
        <w:t xml:space="preserve"> and appropriateness</w:t>
      </w:r>
      <w:r w:rsidRPr="009422DB">
        <w:rPr>
          <w:rStyle w:val="A3"/>
          <w:color w:val="auto"/>
        </w:rPr>
        <w:t xml:space="preserve"> of the service received</w:t>
      </w:r>
      <w:r w:rsidR="008549DE" w:rsidRPr="009422DB">
        <w:rPr>
          <w:rStyle w:val="A3"/>
          <w:color w:val="auto"/>
        </w:rPr>
        <w:t xml:space="preserve"> by members</w:t>
      </w:r>
      <w:r w:rsidRPr="009422DB">
        <w:rPr>
          <w:rStyle w:val="A3"/>
          <w:color w:val="auto"/>
        </w:rPr>
        <w:t xml:space="preserve"> in return for the charges incurred must also be considered along with other benefits from their membership</w:t>
      </w:r>
      <w:r w:rsidR="008549DE" w:rsidRPr="009422DB">
        <w:rPr>
          <w:rStyle w:val="A3"/>
          <w:color w:val="auto"/>
        </w:rPr>
        <w:t xml:space="preserve"> of the Scheme</w:t>
      </w:r>
      <w:r w:rsidRPr="009422DB">
        <w:rPr>
          <w:rStyle w:val="A3"/>
          <w:color w:val="auto"/>
        </w:rPr>
        <w:t xml:space="preserve"> for which they do not meet the cost</w:t>
      </w:r>
      <w:r w:rsidR="00AF15FD">
        <w:rPr>
          <w:rStyle w:val="A3"/>
          <w:color w:val="auto"/>
        </w:rPr>
        <w:t>.  These include</w:t>
      </w:r>
      <w:r w:rsidRPr="009422DB">
        <w:rPr>
          <w:rStyle w:val="A3"/>
          <w:color w:val="auto"/>
        </w:rPr>
        <w:t xml:space="preserve"> the Trustee’s</w:t>
      </w:r>
      <w:r w:rsidR="00A13234" w:rsidRPr="009422DB">
        <w:rPr>
          <w:rStyle w:val="A3"/>
          <w:color w:val="auto"/>
        </w:rPr>
        <w:t>:</w:t>
      </w:r>
    </w:p>
    <w:p w14:paraId="57DC7D12" w14:textId="06519E00" w:rsidR="00A13234" w:rsidRDefault="00A13234" w:rsidP="00874428">
      <w:pPr>
        <w:pStyle w:val="Level2"/>
        <w:numPr>
          <w:ilvl w:val="0"/>
          <w:numId w:val="30"/>
        </w:numPr>
        <w:spacing w:after="120" w:line="276" w:lineRule="auto"/>
        <w:ind w:left="340" w:hanging="357"/>
        <w:rPr>
          <w:sz w:val="20"/>
          <w:szCs w:val="20"/>
        </w:rPr>
      </w:pPr>
      <w:r>
        <w:rPr>
          <w:rStyle w:val="A3"/>
        </w:rPr>
        <w:t xml:space="preserve">Oversight and governance duties for both the DC </w:t>
      </w:r>
      <w:r w:rsidR="008549DE">
        <w:rPr>
          <w:rStyle w:val="A3"/>
        </w:rPr>
        <w:t>accounts</w:t>
      </w:r>
      <w:r>
        <w:rPr>
          <w:rStyle w:val="A3"/>
        </w:rPr>
        <w:t xml:space="preserve"> and the </w:t>
      </w:r>
      <w:r w:rsidR="008549DE">
        <w:rPr>
          <w:rStyle w:val="A3"/>
        </w:rPr>
        <w:t>Scheme</w:t>
      </w:r>
      <w:r>
        <w:rPr>
          <w:rStyle w:val="A3"/>
        </w:rPr>
        <w:t xml:space="preserve"> as a whole</w:t>
      </w:r>
      <w:r w:rsidR="0006275E">
        <w:rPr>
          <w:rStyle w:val="A3"/>
        </w:rPr>
        <w:t>.  These</w:t>
      </w:r>
      <w:r>
        <w:rPr>
          <w:rStyle w:val="A3"/>
        </w:rPr>
        <w:t xml:space="preserve"> include</w:t>
      </w:r>
      <w:r w:rsidRPr="00612E9E">
        <w:rPr>
          <w:sz w:val="20"/>
          <w:szCs w:val="20"/>
        </w:rPr>
        <w:t xml:space="preserve"> ensuring</w:t>
      </w:r>
      <w:r>
        <w:rPr>
          <w:sz w:val="20"/>
          <w:szCs w:val="20"/>
        </w:rPr>
        <w:t xml:space="preserve"> </w:t>
      </w:r>
      <w:r w:rsidRPr="00612E9E">
        <w:rPr>
          <w:sz w:val="20"/>
          <w:szCs w:val="20"/>
        </w:rPr>
        <w:t>complian</w:t>
      </w:r>
      <w:r>
        <w:rPr>
          <w:sz w:val="20"/>
          <w:szCs w:val="20"/>
        </w:rPr>
        <w:t>ce</w:t>
      </w:r>
      <w:r w:rsidRPr="00612E9E">
        <w:rPr>
          <w:sz w:val="20"/>
          <w:szCs w:val="20"/>
        </w:rPr>
        <w:t xml:space="preserve"> with relevant legislation and </w:t>
      </w:r>
      <w:r w:rsidR="008549DE">
        <w:rPr>
          <w:sz w:val="20"/>
          <w:szCs w:val="20"/>
        </w:rPr>
        <w:t xml:space="preserve">the </w:t>
      </w:r>
      <w:r w:rsidRPr="00612E9E">
        <w:rPr>
          <w:sz w:val="20"/>
          <w:szCs w:val="20"/>
        </w:rPr>
        <w:t xml:space="preserve">holding </w:t>
      </w:r>
      <w:r w:rsidR="008549DE">
        <w:rPr>
          <w:sz w:val="20"/>
          <w:szCs w:val="20"/>
        </w:rPr>
        <w:t xml:space="preserve">of </w:t>
      </w:r>
      <w:r w:rsidRPr="00612E9E">
        <w:rPr>
          <w:sz w:val="20"/>
          <w:szCs w:val="20"/>
        </w:rPr>
        <w:t xml:space="preserve">regular </w:t>
      </w:r>
      <w:r w:rsidR="008549DE">
        <w:rPr>
          <w:sz w:val="20"/>
          <w:szCs w:val="20"/>
        </w:rPr>
        <w:t xml:space="preserve">Trustee </w:t>
      </w:r>
      <w:r w:rsidRPr="00612E9E">
        <w:rPr>
          <w:sz w:val="20"/>
          <w:szCs w:val="20"/>
        </w:rPr>
        <w:t xml:space="preserve">meetings to monitor </w:t>
      </w:r>
      <w:r w:rsidRPr="00612E9E">
        <w:rPr>
          <w:sz w:val="20"/>
          <w:szCs w:val="20"/>
        </w:rPr>
        <w:lastRenderedPageBreak/>
        <w:t xml:space="preserve">the </w:t>
      </w:r>
      <w:r w:rsidR="008549DE">
        <w:rPr>
          <w:sz w:val="20"/>
          <w:szCs w:val="20"/>
        </w:rPr>
        <w:t>Scheme</w:t>
      </w:r>
      <w:r w:rsidRPr="00612E9E">
        <w:rPr>
          <w:sz w:val="20"/>
          <w:szCs w:val="20"/>
        </w:rPr>
        <w:t xml:space="preserve"> and address any material issues that may impact members</w:t>
      </w:r>
      <w:r w:rsidR="00BB48C4">
        <w:rPr>
          <w:sz w:val="20"/>
          <w:szCs w:val="20"/>
        </w:rPr>
        <w:t xml:space="preserve"> both in relation to their main Scheme benefits and their</w:t>
      </w:r>
      <w:r w:rsidR="008549DE">
        <w:rPr>
          <w:sz w:val="20"/>
          <w:szCs w:val="20"/>
        </w:rPr>
        <w:t xml:space="preserve"> DC accounts. </w:t>
      </w:r>
      <w:r w:rsidR="007C2AA3">
        <w:rPr>
          <w:sz w:val="20"/>
          <w:szCs w:val="20"/>
        </w:rPr>
        <w:t xml:space="preserve"> </w:t>
      </w:r>
      <w:r w:rsidR="008549DE">
        <w:rPr>
          <w:sz w:val="20"/>
          <w:szCs w:val="20"/>
        </w:rPr>
        <w:t>The Trustee is assisted in this by advice it receives from its professional, independent advisers, the cost of which is not met by the members</w:t>
      </w:r>
      <w:r w:rsidR="00C92B46">
        <w:rPr>
          <w:sz w:val="20"/>
          <w:szCs w:val="20"/>
        </w:rPr>
        <w:t>;</w:t>
      </w:r>
    </w:p>
    <w:p w14:paraId="64276F0F" w14:textId="0FEA8877" w:rsidR="00A13234" w:rsidRPr="00A13234" w:rsidRDefault="00580F08" w:rsidP="00874428">
      <w:pPr>
        <w:pStyle w:val="ListParagraph"/>
        <w:numPr>
          <w:ilvl w:val="0"/>
          <w:numId w:val="30"/>
        </w:numPr>
        <w:ind w:left="340"/>
        <w:jc w:val="both"/>
        <w:rPr>
          <w:lang w:eastAsia="en-GB"/>
        </w:rPr>
      </w:pPr>
      <w:r>
        <w:rPr>
          <w:rFonts w:ascii="Arial" w:hAnsi="Arial" w:cs="Arial"/>
          <w:sz w:val="20"/>
          <w:szCs w:val="20"/>
        </w:rPr>
        <w:t>Monitoring</w:t>
      </w:r>
      <w:r w:rsidR="00A13234">
        <w:rPr>
          <w:rFonts w:ascii="Arial" w:hAnsi="Arial" w:cs="Arial"/>
          <w:sz w:val="20"/>
          <w:szCs w:val="20"/>
        </w:rPr>
        <w:t xml:space="preserve"> of the </w:t>
      </w:r>
      <w:r w:rsidR="00A13234" w:rsidRPr="00A13234">
        <w:rPr>
          <w:rFonts w:ascii="Arial" w:hAnsi="Arial" w:cs="Arial"/>
          <w:sz w:val="20"/>
          <w:szCs w:val="20"/>
        </w:rPr>
        <w:t xml:space="preserve">investment options </w:t>
      </w:r>
      <w:r w:rsidR="00A13234">
        <w:rPr>
          <w:rFonts w:ascii="Arial" w:hAnsi="Arial" w:cs="Arial"/>
          <w:sz w:val="20"/>
          <w:szCs w:val="20"/>
        </w:rPr>
        <w:t xml:space="preserve">available to members with DC accounts </w:t>
      </w:r>
      <w:r w:rsidR="00A13234" w:rsidRPr="00A13234">
        <w:rPr>
          <w:rFonts w:ascii="Arial" w:hAnsi="Arial" w:cs="Arial"/>
          <w:sz w:val="20"/>
          <w:szCs w:val="20"/>
        </w:rPr>
        <w:t>to ensure they remain appropriate</w:t>
      </w:r>
      <w:r w:rsidR="00A13234">
        <w:rPr>
          <w:rFonts w:ascii="Arial" w:hAnsi="Arial" w:cs="Arial"/>
          <w:sz w:val="20"/>
          <w:szCs w:val="20"/>
        </w:rPr>
        <w:t>.</w:t>
      </w:r>
    </w:p>
    <w:p w14:paraId="2A4D2170" w14:textId="1F253FD3" w:rsidR="00CD1626" w:rsidRPr="00904562" w:rsidRDefault="00E05BA0" w:rsidP="00874428">
      <w:pPr>
        <w:ind w:left="0" w:firstLine="0"/>
        <w:jc w:val="both"/>
        <w:rPr>
          <w:sz w:val="20"/>
          <w:szCs w:val="20"/>
        </w:rPr>
      </w:pPr>
      <w:r>
        <w:rPr>
          <w:sz w:val="20"/>
          <w:szCs w:val="20"/>
        </w:rPr>
        <w:t>Also</w:t>
      </w:r>
      <w:r w:rsidR="005C4E40" w:rsidRPr="00904562">
        <w:rPr>
          <w:sz w:val="20"/>
          <w:szCs w:val="20"/>
        </w:rPr>
        <w:t xml:space="preserve">, when considering the services members receive in relation to the </w:t>
      </w:r>
      <w:r w:rsidR="00753666">
        <w:rPr>
          <w:sz w:val="20"/>
          <w:szCs w:val="20"/>
        </w:rPr>
        <w:t xml:space="preserve">annual </w:t>
      </w:r>
      <w:r w:rsidR="005C4E40" w:rsidRPr="00904562">
        <w:rPr>
          <w:sz w:val="20"/>
          <w:szCs w:val="20"/>
        </w:rPr>
        <w:t>charges deducted, the Trustee takes into account that the</w:t>
      </w:r>
      <w:r>
        <w:rPr>
          <w:sz w:val="20"/>
          <w:szCs w:val="20"/>
        </w:rPr>
        <w:t xml:space="preserve"> benefits arising from the</w:t>
      </w:r>
      <w:r w:rsidR="005C4E40" w:rsidRPr="00904562">
        <w:rPr>
          <w:sz w:val="20"/>
          <w:szCs w:val="20"/>
        </w:rPr>
        <w:t xml:space="preserve"> DC accounts are</w:t>
      </w:r>
      <w:r>
        <w:rPr>
          <w:sz w:val="20"/>
          <w:szCs w:val="20"/>
        </w:rPr>
        <w:t xml:space="preserve"> </w:t>
      </w:r>
      <w:r w:rsidR="004A4B83">
        <w:rPr>
          <w:sz w:val="20"/>
          <w:szCs w:val="20"/>
        </w:rPr>
        <w:t>supple</w:t>
      </w:r>
      <w:r w:rsidR="009C3833">
        <w:rPr>
          <w:sz w:val="20"/>
          <w:szCs w:val="20"/>
        </w:rPr>
        <w:t>mental to</w:t>
      </w:r>
      <w:r w:rsidR="005C4E40" w:rsidRPr="00904562">
        <w:rPr>
          <w:sz w:val="20"/>
          <w:szCs w:val="20"/>
        </w:rPr>
        <w:t xml:space="preserve"> member</w:t>
      </w:r>
      <w:r w:rsidR="009C3833">
        <w:rPr>
          <w:sz w:val="20"/>
          <w:szCs w:val="20"/>
        </w:rPr>
        <w:t>s’</w:t>
      </w:r>
      <w:r w:rsidR="005C4E40" w:rsidRPr="00904562">
        <w:rPr>
          <w:sz w:val="20"/>
          <w:szCs w:val="20"/>
        </w:rPr>
        <w:t xml:space="preserve"> main </w:t>
      </w:r>
      <w:r w:rsidR="00C81A0D">
        <w:rPr>
          <w:sz w:val="20"/>
          <w:szCs w:val="20"/>
        </w:rPr>
        <w:t xml:space="preserve">final salary </w:t>
      </w:r>
      <w:r w:rsidR="005C4E40" w:rsidRPr="00904562">
        <w:rPr>
          <w:sz w:val="20"/>
          <w:szCs w:val="20"/>
        </w:rPr>
        <w:t xml:space="preserve">pension benefits under the Scheme. </w:t>
      </w:r>
      <w:r w:rsidR="00BB48C4">
        <w:rPr>
          <w:sz w:val="20"/>
          <w:szCs w:val="20"/>
        </w:rPr>
        <w:t xml:space="preserve"> </w:t>
      </w:r>
      <w:r w:rsidR="00DE4249" w:rsidRPr="00904562">
        <w:rPr>
          <w:sz w:val="20"/>
          <w:szCs w:val="20"/>
        </w:rPr>
        <w:t>The Trustee is also conscious that there is limited scope to improve value for members fol</w:t>
      </w:r>
      <w:r w:rsidR="00A90592" w:rsidRPr="00904562">
        <w:rPr>
          <w:sz w:val="20"/>
          <w:szCs w:val="20"/>
        </w:rPr>
        <w:t xml:space="preserve">lowing the closure of the </w:t>
      </w:r>
      <w:r w:rsidR="00E71C7A" w:rsidRPr="00904562">
        <w:rPr>
          <w:sz w:val="20"/>
          <w:szCs w:val="20"/>
        </w:rPr>
        <w:t>DC accounts to new contribut</w:t>
      </w:r>
      <w:r w:rsidR="00A90592" w:rsidRPr="00904562">
        <w:rPr>
          <w:sz w:val="20"/>
          <w:szCs w:val="20"/>
        </w:rPr>
        <w:t>ions</w:t>
      </w:r>
      <w:r w:rsidR="008549DE">
        <w:rPr>
          <w:sz w:val="20"/>
          <w:szCs w:val="20"/>
        </w:rPr>
        <w:t xml:space="preserve">.  In addition, the Trustee recognises that a significant number of members have chosen to invest their DC account in </w:t>
      </w:r>
      <w:r w:rsidR="00DE4249" w:rsidRPr="00904562">
        <w:rPr>
          <w:sz w:val="20"/>
          <w:szCs w:val="20"/>
        </w:rPr>
        <w:t>with-profits funds</w:t>
      </w:r>
      <w:r w:rsidR="008549DE">
        <w:rPr>
          <w:sz w:val="20"/>
          <w:szCs w:val="20"/>
        </w:rPr>
        <w:t xml:space="preserve"> that provide valuable </w:t>
      </w:r>
      <w:r w:rsidR="00BB48C4">
        <w:rPr>
          <w:sz w:val="20"/>
          <w:szCs w:val="20"/>
        </w:rPr>
        <w:t>benefit</w:t>
      </w:r>
      <w:r w:rsidR="008549DE">
        <w:rPr>
          <w:sz w:val="20"/>
          <w:szCs w:val="20"/>
        </w:rPr>
        <w:t>s specific to this type of investment fund</w:t>
      </w:r>
      <w:r w:rsidR="006C45C4">
        <w:rPr>
          <w:sz w:val="20"/>
          <w:szCs w:val="20"/>
        </w:rPr>
        <w:t>, which may be difficult to replicate elsewhere</w:t>
      </w:r>
      <w:r w:rsidR="008549DE">
        <w:rPr>
          <w:sz w:val="20"/>
          <w:szCs w:val="20"/>
        </w:rPr>
        <w:t>.</w:t>
      </w:r>
    </w:p>
    <w:p w14:paraId="0797380C" w14:textId="08510EEE" w:rsidR="00BB48C4" w:rsidRDefault="00BB48C4" w:rsidP="00874428">
      <w:pPr>
        <w:ind w:left="0" w:firstLine="0"/>
        <w:jc w:val="both"/>
        <w:rPr>
          <w:sz w:val="20"/>
          <w:szCs w:val="20"/>
        </w:rPr>
      </w:pPr>
      <w:r>
        <w:rPr>
          <w:sz w:val="20"/>
          <w:szCs w:val="20"/>
        </w:rPr>
        <w:t>Within the framework outlined above</w:t>
      </w:r>
      <w:r w:rsidR="00C81A0D" w:rsidRPr="00715BF1">
        <w:rPr>
          <w:sz w:val="20"/>
          <w:szCs w:val="20"/>
        </w:rPr>
        <w:t>, the Trustee monitors the</w:t>
      </w:r>
      <w:r w:rsidR="00CF189E">
        <w:rPr>
          <w:sz w:val="20"/>
          <w:szCs w:val="20"/>
        </w:rPr>
        <w:t xml:space="preserve"> annual </w:t>
      </w:r>
      <w:r w:rsidR="00C81A0D" w:rsidRPr="00715BF1">
        <w:rPr>
          <w:sz w:val="20"/>
          <w:szCs w:val="20"/>
        </w:rPr>
        <w:t>charges</w:t>
      </w:r>
      <w:r w:rsidR="00CF189E">
        <w:rPr>
          <w:sz w:val="20"/>
          <w:szCs w:val="20"/>
        </w:rPr>
        <w:t xml:space="preserve"> and costs</w:t>
      </w:r>
      <w:r w:rsidR="00C81A0D" w:rsidRPr="00715BF1">
        <w:rPr>
          <w:sz w:val="20"/>
          <w:szCs w:val="20"/>
        </w:rPr>
        <w:t xml:space="preserve"> deducted from members’ DC accounts</w:t>
      </w:r>
      <w:r w:rsidR="00B6403E" w:rsidRPr="00715BF1">
        <w:rPr>
          <w:sz w:val="20"/>
          <w:szCs w:val="20"/>
        </w:rPr>
        <w:t xml:space="preserve"> and </w:t>
      </w:r>
      <w:r>
        <w:rPr>
          <w:sz w:val="20"/>
          <w:szCs w:val="20"/>
        </w:rPr>
        <w:t>each year</w:t>
      </w:r>
      <w:r w:rsidR="00E71C7A" w:rsidRPr="00715BF1">
        <w:rPr>
          <w:sz w:val="20"/>
          <w:szCs w:val="20"/>
        </w:rPr>
        <w:t>,</w:t>
      </w:r>
      <w:r w:rsidR="00B6403E" w:rsidRPr="00715BF1">
        <w:rPr>
          <w:sz w:val="20"/>
          <w:szCs w:val="20"/>
        </w:rPr>
        <w:t xml:space="preserve"> it </w:t>
      </w:r>
      <w:r w:rsidR="00295804" w:rsidRPr="00715BF1">
        <w:rPr>
          <w:sz w:val="20"/>
          <w:szCs w:val="20"/>
        </w:rPr>
        <w:t>assesses</w:t>
      </w:r>
      <w:r w:rsidR="00B6403E" w:rsidRPr="00715BF1">
        <w:rPr>
          <w:sz w:val="20"/>
          <w:szCs w:val="20"/>
        </w:rPr>
        <w:t xml:space="preserve"> the extent to which the DC accounts represent value for members.  </w:t>
      </w:r>
      <w:r>
        <w:rPr>
          <w:sz w:val="20"/>
          <w:szCs w:val="20"/>
        </w:rPr>
        <w:t>As part of this assessment, the Trustee</w:t>
      </w:r>
      <w:r w:rsidRPr="00715BF1">
        <w:rPr>
          <w:sz w:val="20"/>
          <w:szCs w:val="20"/>
        </w:rPr>
        <w:t xml:space="preserve"> consider</w:t>
      </w:r>
      <w:r>
        <w:rPr>
          <w:sz w:val="20"/>
          <w:szCs w:val="20"/>
        </w:rPr>
        <w:t>s</w:t>
      </w:r>
      <w:r w:rsidRPr="00715BF1">
        <w:rPr>
          <w:sz w:val="20"/>
          <w:szCs w:val="20"/>
        </w:rPr>
        <w:t xml:space="preserve"> </w:t>
      </w:r>
      <w:r>
        <w:rPr>
          <w:sz w:val="20"/>
          <w:szCs w:val="20"/>
        </w:rPr>
        <w:t>members’</w:t>
      </w:r>
      <w:r w:rsidRPr="00715BF1">
        <w:rPr>
          <w:sz w:val="20"/>
          <w:szCs w:val="20"/>
        </w:rPr>
        <w:t xml:space="preserve"> needs and the quality of the services received</w:t>
      </w:r>
      <w:r>
        <w:rPr>
          <w:sz w:val="20"/>
          <w:szCs w:val="20"/>
        </w:rPr>
        <w:t xml:space="preserve"> during the year</w:t>
      </w:r>
      <w:r w:rsidRPr="00715BF1">
        <w:rPr>
          <w:sz w:val="20"/>
          <w:szCs w:val="20"/>
        </w:rPr>
        <w:t xml:space="preserve"> for which the members meet the cost</w:t>
      </w:r>
      <w:r>
        <w:rPr>
          <w:sz w:val="20"/>
          <w:szCs w:val="20"/>
        </w:rPr>
        <w:t>.</w:t>
      </w:r>
    </w:p>
    <w:p w14:paraId="4EA956EF" w14:textId="6A5CEE99" w:rsidR="003D4DCA" w:rsidRPr="00715BF1" w:rsidRDefault="00B6403E" w:rsidP="00874428">
      <w:pPr>
        <w:ind w:left="0" w:firstLine="0"/>
        <w:jc w:val="both"/>
        <w:rPr>
          <w:sz w:val="20"/>
          <w:szCs w:val="20"/>
        </w:rPr>
      </w:pPr>
      <w:r w:rsidRPr="00715BF1">
        <w:rPr>
          <w:sz w:val="20"/>
          <w:szCs w:val="20"/>
        </w:rPr>
        <w:t>For the year ending 31 March 20</w:t>
      </w:r>
      <w:r w:rsidR="000A0A2B">
        <w:rPr>
          <w:sz w:val="20"/>
          <w:szCs w:val="20"/>
        </w:rPr>
        <w:t>2</w:t>
      </w:r>
      <w:r w:rsidR="001427F1">
        <w:rPr>
          <w:sz w:val="20"/>
          <w:szCs w:val="20"/>
        </w:rPr>
        <w:t>5</w:t>
      </w:r>
      <w:r w:rsidRPr="00715BF1">
        <w:rPr>
          <w:sz w:val="20"/>
          <w:szCs w:val="20"/>
        </w:rPr>
        <w:t xml:space="preserve">, </w:t>
      </w:r>
      <w:r w:rsidR="00E71C7A" w:rsidRPr="00715BF1">
        <w:rPr>
          <w:sz w:val="20"/>
          <w:szCs w:val="20"/>
        </w:rPr>
        <w:t xml:space="preserve">the </w:t>
      </w:r>
      <w:r w:rsidRPr="00715BF1">
        <w:rPr>
          <w:sz w:val="20"/>
          <w:szCs w:val="20"/>
        </w:rPr>
        <w:t xml:space="preserve">Trustee concluded that the DC accounts continue to represent good value for members </w:t>
      </w:r>
      <w:r w:rsidR="000A0A2B">
        <w:rPr>
          <w:sz w:val="20"/>
          <w:szCs w:val="20"/>
        </w:rPr>
        <w:t>for the reasons</w:t>
      </w:r>
      <w:r w:rsidR="00183279">
        <w:rPr>
          <w:sz w:val="20"/>
          <w:szCs w:val="20"/>
        </w:rPr>
        <w:t xml:space="preserve"> outlined below</w:t>
      </w:r>
      <w:r w:rsidR="00C06F6E">
        <w:rPr>
          <w:sz w:val="20"/>
          <w:szCs w:val="20"/>
        </w:rPr>
        <w:t>:</w:t>
      </w:r>
    </w:p>
    <w:p w14:paraId="5EB03175" w14:textId="53ADE780" w:rsidR="003102ED" w:rsidRDefault="001C4BA8" w:rsidP="005A675A">
      <w:pPr>
        <w:pStyle w:val="ListParagraph"/>
        <w:numPr>
          <w:ilvl w:val="0"/>
          <w:numId w:val="18"/>
        </w:numPr>
        <w:autoSpaceDE w:val="0"/>
        <w:autoSpaceDN w:val="0"/>
        <w:adjustRightInd w:val="0"/>
        <w:ind w:left="357" w:hanging="357"/>
        <w:jc w:val="both"/>
        <w:rPr>
          <w:sz w:val="20"/>
          <w:szCs w:val="20"/>
        </w:rPr>
      </w:pPr>
      <w:r>
        <w:rPr>
          <w:sz w:val="20"/>
          <w:szCs w:val="20"/>
        </w:rPr>
        <w:t>Much</w:t>
      </w:r>
      <w:r w:rsidR="00AE7EF5" w:rsidRPr="00715BF1">
        <w:rPr>
          <w:sz w:val="20"/>
          <w:szCs w:val="20"/>
        </w:rPr>
        <w:t xml:space="preserve"> of the administration associated with the DC accounts is undertaken by the Scheme’s professional administrators, Barnett Waddingham, and the cost of this service is not met by the members</w:t>
      </w:r>
      <w:r w:rsidR="00AE7EF5">
        <w:rPr>
          <w:sz w:val="20"/>
          <w:szCs w:val="20"/>
        </w:rPr>
        <w:t>.</w:t>
      </w:r>
    </w:p>
    <w:p w14:paraId="68AE68E6" w14:textId="3DA64700" w:rsidR="00AE7EF5" w:rsidRDefault="00E12B17" w:rsidP="0061475C">
      <w:pPr>
        <w:pStyle w:val="ListParagraph"/>
        <w:numPr>
          <w:ilvl w:val="0"/>
          <w:numId w:val="18"/>
        </w:numPr>
        <w:autoSpaceDE w:val="0"/>
        <w:autoSpaceDN w:val="0"/>
        <w:adjustRightInd w:val="0"/>
        <w:ind w:left="357" w:hanging="357"/>
        <w:jc w:val="both"/>
        <w:rPr>
          <w:sz w:val="20"/>
          <w:szCs w:val="20"/>
        </w:rPr>
      </w:pPr>
      <w:r>
        <w:rPr>
          <w:sz w:val="20"/>
          <w:szCs w:val="20"/>
        </w:rPr>
        <w:t>F</w:t>
      </w:r>
      <w:r w:rsidR="00A13234">
        <w:rPr>
          <w:sz w:val="20"/>
          <w:szCs w:val="20"/>
        </w:rPr>
        <w:t>or Prudential policy M028,</w:t>
      </w:r>
      <w:r w:rsidR="00F24A84">
        <w:rPr>
          <w:sz w:val="20"/>
          <w:szCs w:val="20"/>
        </w:rPr>
        <w:t xml:space="preserve"> </w:t>
      </w:r>
      <w:r w:rsidR="00A13234">
        <w:rPr>
          <w:sz w:val="20"/>
          <w:szCs w:val="20"/>
        </w:rPr>
        <w:t xml:space="preserve">the Trustee </w:t>
      </w:r>
      <w:r w:rsidR="004E5C61">
        <w:rPr>
          <w:sz w:val="20"/>
          <w:szCs w:val="20"/>
        </w:rPr>
        <w:t>pays Prudential’s</w:t>
      </w:r>
      <w:r w:rsidR="00A13234">
        <w:rPr>
          <w:sz w:val="20"/>
          <w:szCs w:val="20"/>
        </w:rPr>
        <w:t xml:space="preserve"> administration c</w:t>
      </w:r>
      <w:r w:rsidR="004E5C61">
        <w:rPr>
          <w:sz w:val="20"/>
          <w:szCs w:val="20"/>
        </w:rPr>
        <w:t>ost</w:t>
      </w:r>
      <w:r w:rsidR="00A13234">
        <w:rPr>
          <w:sz w:val="20"/>
          <w:szCs w:val="20"/>
        </w:rPr>
        <w:t>s</w:t>
      </w:r>
      <w:r w:rsidR="00F24A84">
        <w:rPr>
          <w:sz w:val="20"/>
          <w:szCs w:val="20"/>
        </w:rPr>
        <w:t xml:space="preserve"> and consequently the members </w:t>
      </w:r>
      <w:r w:rsidR="0051501A">
        <w:rPr>
          <w:sz w:val="20"/>
          <w:szCs w:val="20"/>
        </w:rPr>
        <w:t>incur</w:t>
      </w:r>
      <w:r w:rsidR="00E62068">
        <w:rPr>
          <w:sz w:val="20"/>
          <w:szCs w:val="20"/>
        </w:rPr>
        <w:t xml:space="preserve"> much lower annual charges</w:t>
      </w:r>
      <w:r w:rsidR="00912EE6">
        <w:rPr>
          <w:sz w:val="20"/>
          <w:szCs w:val="20"/>
        </w:rPr>
        <w:t xml:space="preserve"> as they only </w:t>
      </w:r>
      <w:r w:rsidR="00315A36">
        <w:rPr>
          <w:sz w:val="20"/>
          <w:szCs w:val="20"/>
        </w:rPr>
        <w:t>pay</w:t>
      </w:r>
      <w:r w:rsidR="00912EE6">
        <w:rPr>
          <w:sz w:val="20"/>
          <w:szCs w:val="20"/>
        </w:rPr>
        <w:t xml:space="preserve"> the charges for managing the investments</w:t>
      </w:r>
      <w:r w:rsidR="00A13234">
        <w:rPr>
          <w:sz w:val="20"/>
          <w:szCs w:val="20"/>
        </w:rPr>
        <w:t>.</w:t>
      </w:r>
    </w:p>
    <w:p w14:paraId="5DF0EFE0" w14:textId="7AD4188E" w:rsidR="005D7733" w:rsidRDefault="005D7733" w:rsidP="005D7733">
      <w:pPr>
        <w:pStyle w:val="ListParagraph"/>
        <w:numPr>
          <w:ilvl w:val="0"/>
          <w:numId w:val="18"/>
        </w:numPr>
        <w:autoSpaceDE w:val="0"/>
        <w:autoSpaceDN w:val="0"/>
        <w:adjustRightInd w:val="0"/>
        <w:ind w:left="357" w:hanging="357"/>
        <w:jc w:val="both"/>
        <w:rPr>
          <w:sz w:val="20"/>
          <w:szCs w:val="20"/>
        </w:rPr>
      </w:pPr>
      <w:r>
        <w:rPr>
          <w:sz w:val="20"/>
          <w:szCs w:val="20"/>
        </w:rPr>
        <w:t xml:space="preserve">The annual charges paid by members principally cover Aviva’s and Prudential’s costs in managing the investment funds in which members invest. </w:t>
      </w:r>
      <w:r w:rsidR="003503AB">
        <w:rPr>
          <w:sz w:val="20"/>
          <w:szCs w:val="20"/>
        </w:rPr>
        <w:t xml:space="preserve"> </w:t>
      </w:r>
      <w:r>
        <w:rPr>
          <w:sz w:val="20"/>
          <w:szCs w:val="20"/>
        </w:rPr>
        <w:t>For the year to 31 March 202</w:t>
      </w:r>
      <w:r w:rsidR="001427F1">
        <w:rPr>
          <w:sz w:val="20"/>
          <w:szCs w:val="20"/>
        </w:rPr>
        <w:t>5</w:t>
      </w:r>
      <w:r>
        <w:rPr>
          <w:sz w:val="20"/>
          <w:szCs w:val="20"/>
        </w:rPr>
        <w:t>:</w:t>
      </w:r>
    </w:p>
    <w:p w14:paraId="6A8A7D2C" w14:textId="1E7C2987" w:rsidR="005D7733" w:rsidRDefault="0045694A" w:rsidP="005D7733">
      <w:pPr>
        <w:pStyle w:val="ListParagraph"/>
        <w:numPr>
          <w:ilvl w:val="1"/>
          <w:numId w:val="18"/>
        </w:numPr>
        <w:autoSpaceDE w:val="0"/>
        <w:autoSpaceDN w:val="0"/>
        <w:adjustRightInd w:val="0"/>
        <w:ind w:left="754" w:hanging="357"/>
        <w:jc w:val="both"/>
        <w:rPr>
          <w:sz w:val="20"/>
          <w:szCs w:val="20"/>
        </w:rPr>
      </w:pPr>
      <w:r>
        <w:rPr>
          <w:sz w:val="20"/>
          <w:szCs w:val="20"/>
        </w:rPr>
        <w:t xml:space="preserve">Members in Prudential </w:t>
      </w:r>
      <w:r w:rsidR="0090731E">
        <w:rPr>
          <w:sz w:val="20"/>
          <w:szCs w:val="20"/>
        </w:rPr>
        <w:t>policy TTP0062 and t</w:t>
      </w:r>
      <w:r w:rsidR="001B2BDC">
        <w:rPr>
          <w:sz w:val="20"/>
          <w:szCs w:val="20"/>
        </w:rPr>
        <w:t>he majority</w:t>
      </w:r>
      <w:r w:rsidR="00EE2F1C">
        <w:rPr>
          <w:sz w:val="20"/>
          <w:szCs w:val="20"/>
        </w:rPr>
        <w:t xml:space="preserve"> </w:t>
      </w:r>
      <w:r w:rsidR="005B5F83">
        <w:rPr>
          <w:sz w:val="20"/>
          <w:szCs w:val="20"/>
        </w:rPr>
        <w:t xml:space="preserve">of </w:t>
      </w:r>
      <w:r w:rsidR="00EE2F1C">
        <w:rPr>
          <w:sz w:val="20"/>
          <w:szCs w:val="20"/>
        </w:rPr>
        <w:t xml:space="preserve">the </w:t>
      </w:r>
      <w:r w:rsidR="005B5F83">
        <w:rPr>
          <w:sz w:val="20"/>
          <w:szCs w:val="20"/>
        </w:rPr>
        <w:t xml:space="preserve">members </w:t>
      </w:r>
      <w:r w:rsidR="000D3843">
        <w:rPr>
          <w:sz w:val="20"/>
          <w:szCs w:val="20"/>
        </w:rPr>
        <w:t xml:space="preserve">with </w:t>
      </w:r>
      <w:r w:rsidR="002A6B3F">
        <w:rPr>
          <w:sz w:val="20"/>
          <w:szCs w:val="20"/>
        </w:rPr>
        <w:t xml:space="preserve">Aviva </w:t>
      </w:r>
      <w:r w:rsidR="000D3843">
        <w:rPr>
          <w:sz w:val="20"/>
          <w:szCs w:val="20"/>
        </w:rPr>
        <w:t>AVC accounts</w:t>
      </w:r>
      <w:r w:rsidR="00684162">
        <w:rPr>
          <w:sz w:val="20"/>
          <w:szCs w:val="20"/>
        </w:rPr>
        <w:t xml:space="preserve"> are invested in with-profits funds</w:t>
      </w:r>
      <w:r w:rsidR="002672AF">
        <w:rPr>
          <w:sz w:val="20"/>
          <w:szCs w:val="20"/>
        </w:rPr>
        <w:t xml:space="preserve"> that provide </w:t>
      </w:r>
      <w:r w:rsidR="00A23CAC">
        <w:rPr>
          <w:sz w:val="20"/>
          <w:szCs w:val="20"/>
        </w:rPr>
        <w:t xml:space="preserve">a level of protection </w:t>
      </w:r>
      <w:r w:rsidR="00D83677">
        <w:rPr>
          <w:sz w:val="20"/>
          <w:szCs w:val="20"/>
        </w:rPr>
        <w:t>against falls in the values of their savings</w:t>
      </w:r>
      <w:r w:rsidR="0090731E">
        <w:rPr>
          <w:sz w:val="20"/>
          <w:szCs w:val="20"/>
        </w:rPr>
        <w:t>;</w:t>
      </w:r>
    </w:p>
    <w:p w14:paraId="131DDE85" w14:textId="3D10DF94" w:rsidR="009929D4" w:rsidRDefault="009B6FC7" w:rsidP="0061475C">
      <w:pPr>
        <w:pStyle w:val="ListParagraph"/>
        <w:numPr>
          <w:ilvl w:val="0"/>
          <w:numId w:val="18"/>
        </w:numPr>
        <w:autoSpaceDE w:val="0"/>
        <w:autoSpaceDN w:val="0"/>
        <w:adjustRightInd w:val="0"/>
        <w:ind w:left="357" w:hanging="357"/>
        <w:jc w:val="both"/>
        <w:rPr>
          <w:sz w:val="20"/>
          <w:szCs w:val="20"/>
        </w:rPr>
      </w:pPr>
      <w:r>
        <w:rPr>
          <w:sz w:val="20"/>
          <w:szCs w:val="20"/>
        </w:rPr>
        <w:t>M</w:t>
      </w:r>
      <w:r w:rsidR="009929D4" w:rsidRPr="00904562">
        <w:rPr>
          <w:sz w:val="20"/>
          <w:szCs w:val="20"/>
        </w:rPr>
        <w:t>embers</w:t>
      </w:r>
      <w:r>
        <w:rPr>
          <w:sz w:val="20"/>
          <w:szCs w:val="20"/>
        </w:rPr>
        <w:t xml:space="preserve"> in Prudential policy </w:t>
      </w:r>
      <w:r w:rsidR="00E04AD9">
        <w:rPr>
          <w:sz w:val="20"/>
          <w:szCs w:val="20"/>
        </w:rPr>
        <w:t>M028</w:t>
      </w:r>
      <w:r w:rsidR="00AE7EF5">
        <w:rPr>
          <w:sz w:val="20"/>
          <w:szCs w:val="20"/>
        </w:rPr>
        <w:t xml:space="preserve"> </w:t>
      </w:r>
      <w:r w:rsidR="009929D4" w:rsidRPr="00904562">
        <w:rPr>
          <w:sz w:val="20"/>
          <w:szCs w:val="20"/>
        </w:rPr>
        <w:t>have access to a range of</w:t>
      </w:r>
      <w:r w:rsidR="00DE4249" w:rsidRPr="00904562">
        <w:rPr>
          <w:sz w:val="20"/>
          <w:szCs w:val="20"/>
        </w:rPr>
        <w:t xml:space="preserve"> passively managed</w:t>
      </w:r>
      <w:r w:rsidR="009929D4" w:rsidRPr="00904562">
        <w:rPr>
          <w:sz w:val="20"/>
          <w:szCs w:val="20"/>
        </w:rPr>
        <w:t xml:space="preserve"> investment funds covering </w:t>
      </w:r>
      <w:r w:rsidR="00CD1626" w:rsidRPr="00904562">
        <w:rPr>
          <w:sz w:val="20"/>
          <w:szCs w:val="20"/>
        </w:rPr>
        <w:t>different asset classes</w:t>
      </w:r>
      <w:r w:rsidR="00AE7EF5">
        <w:rPr>
          <w:sz w:val="20"/>
          <w:szCs w:val="20"/>
        </w:rPr>
        <w:t xml:space="preserve"> with</w:t>
      </w:r>
      <w:r w:rsidR="00CD1626" w:rsidRPr="00904562">
        <w:rPr>
          <w:sz w:val="20"/>
          <w:szCs w:val="20"/>
        </w:rPr>
        <w:t xml:space="preserve"> charges</w:t>
      </w:r>
      <w:r w:rsidR="00A90592" w:rsidRPr="00904562">
        <w:rPr>
          <w:sz w:val="20"/>
          <w:szCs w:val="20"/>
        </w:rPr>
        <w:t xml:space="preserve"> well</w:t>
      </w:r>
      <w:r w:rsidR="009929D4" w:rsidRPr="00904562">
        <w:rPr>
          <w:sz w:val="20"/>
          <w:szCs w:val="20"/>
        </w:rPr>
        <w:t xml:space="preserve"> below the statutory charge cap </w:t>
      </w:r>
      <w:r w:rsidR="00A90592" w:rsidRPr="00904562">
        <w:rPr>
          <w:sz w:val="20"/>
          <w:szCs w:val="20"/>
        </w:rPr>
        <w:t>of 0.75% per annum applicable to default optio</w:t>
      </w:r>
      <w:r w:rsidR="006419ED">
        <w:rPr>
          <w:sz w:val="20"/>
          <w:szCs w:val="20"/>
        </w:rPr>
        <w:t>ns.</w:t>
      </w:r>
      <w:r w:rsidR="00A13234">
        <w:rPr>
          <w:sz w:val="20"/>
          <w:szCs w:val="20"/>
        </w:rPr>
        <w:t xml:space="preserve"> </w:t>
      </w:r>
      <w:r w:rsidR="00E05BA0">
        <w:rPr>
          <w:sz w:val="20"/>
          <w:szCs w:val="20"/>
        </w:rPr>
        <w:t xml:space="preserve"> </w:t>
      </w:r>
      <w:r w:rsidR="00A13234">
        <w:rPr>
          <w:sz w:val="20"/>
          <w:szCs w:val="20"/>
        </w:rPr>
        <w:t>Members in Prudential policy TTP0062 can switch to this policy if they wish</w:t>
      </w:r>
      <w:r w:rsidR="0043191B">
        <w:rPr>
          <w:sz w:val="20"/>
          <w:szCs w:val="20"/>
        </w:rPr>
        <w:t xml:space="preserve"> in order to take advantage of the </w:t>
      </w:r>
      <w:r w:rsidR="00E45BDF">
        <w:rPr>
          <w:sz w:val="20"/>
          <w:szCs w:val="20"/>
        </w:rPr>
        <w:t xml:space="preserve">wider investment choice and </w:t>
      </w:r>
      <w:r w:rsidR="0043191B">
        <w:rPr>
          <w:sz w:val="20"/>
          <w:szCs w:val="20"/>
        </w:rPr>
        <w:t>lower charges</w:t>
      </w:r>
      <w:r w:rsidR="00A13234">
        <w:rPr>
          <w:sz w:val="20"/>
          <w:szCs w:val="20"/>
        </w:rPr>
        <w:t>.</w:t>
      </w:r>
    </w:p>
    <w:p w14:paraId="7181F079" w14:textId="7DCB1508" w:rsidR="0043191B" w:rsidRPr="00BB48C4" w:rsidRDefault="0043191B" w:rsidP="0061475C">
      <w:pPr>
        <w:pStyle w:val="ListParagraph"/>
        <w:numPr>
          <w:ilvl w:val="0"/>
          <w:numId w:val="18"/>
        </w:numPr>
        <w:autoSpaceDE w:val="0"/>
        <w:autoSpaceDN w:val="0"/>
        <w:adjustRightInd w:val="0"/>
        <w:ind w:left="357" w:hanging="357"/>
        <w:jc w:val="both"/>
        <w:rPr>
          <w:sz w:val="20"/>
          <w:szCs w:val="20"/>
        </w:rPr>
      </w:pPr>
      <w:r>
        <w:rPr>
          <w:sz w:val="20"/>
          <w:szCs w:val="20"/>
        </w:rPr>
        <w:t>T</w:t>
      </w:r>
      <w:r w:rsidR="00FE0D2B">
        <w:rPr>
          <w:sz w:val="20"/>
          <w:szCs w:val="20"/>
        </w:rPr>
        <w:t>he Trustee considers that t</w:t>
      </w:r>
      <w:r>
        <w:rPr>
          <w:sz w:val="20"/>
          <w:szCs w:val="20"/>
        </w:rPr>
        <w:t xml:space="preserve">ransaction costs should </w:t>
      </w:r>
      <w:r w:rsidRPr="00CE023D">
        <w:rPr>
          <w:sz w:val="20"/>
          <w:szCs w:val="20"/>
        </w:rPr>
        <w:t xml:space="preserve">provide value for members as the ability </w:t>
      </w:r>
      <w:r>
        <w:rPr>
          <w:sz w:val="20"/>
          <w:szCs w:val="20"/>
        </w:rPr>
        <w:t>for investment managers to buy and sell investments</w:t>
      </w:r>
      <w:r w:rsidRPr="00CE023D">
        <w:rPr>
          <w:sz w:val="20"/>
          <w:szCs w:val="20"/>
        </w:rPr>
        <w:t xml:space="preserve"> forms an integral part of the</w:t>
      </w:r>
      <w:r>
        <w:rPr>
          <w:sz w:val="20"/>
          <w:szCs w:val="20"/>
        </w:rPr>
        <w:t>ir management of the investment funds in which members are invested, which in turn should</w:t>
      </w:r>
      <w:r w:rsidRPr="00CE023D">
        <w:rPr>
          <w:sz w:val="20"/>
          <w:szCs w:val="20"/>
        </w:rPr>
        <w:t xml:space="preserve"> lead to greater investment returns</w:t>
      </w:r>
      <w:r>
        <w:rPr>
          <w:sz w:val="20"/>
          <w:szCs w:val="20"/>
        </w:rPr>
        <w:t>,</w:t>
      </w:r>
      <w:r w:rsidRPr="00CE023D">
        <w:rPr>
          <w:sz w:val="20"/>
          <w:szCs w:val="20"/>
        </w:rPr>
        <w:t xml:space="preserve"> net of fees</w:t>
      </w:r>
      <w:r>
        <w:rPr>
          <w:sz w:val="20"/>
          <w:szCs w:val="20"/>
        </w:rPr>
        <w:t>,</w:t>
      </w:r>
      <w:r w:rsidRPr="00CE023D">
        <w:rPr>
          <w:sz w:val="20"/>
          <w:szCs w:val="20"/>
        </w:rPr>
        <w:t xml:space="preserve"> over time</w:t>
      </w:r>
      <w:r>
        <w:rPr>
          <w:sz w:val="20"/>
          <w:szCs w:val="20"/>
        </w:rPr>
        <w:t>.</w:t>
      </w:r>
    </w:p>
    <w:p w14:paraId="1F7C2FAD" w14:textId="619857FB" w:rsidR="00BA611B" w:rsidRPr="00904562" w:rsidRDefault="0043191B" w:rsidP="0061475C">
      <w:pPr>
        <w:pStyle w:val="ListParagraph"/>
        <w:numPr>
          <w:ilvl w:val="0"/>
          <w:numId w:val="18"/>
        </w:numPr>
        <w:autoSpaceDE w:val="0"/>
        <w:autoSpaceDN w:val="0"/>
        <w:adjustRightInd w:val="0"/>
        <w:ind w:left="357" w:hanging="357"/>
        <w:jc w:val="both"/>
        <w:rPr>
          <w:sz w:val="20"/>
          <w:szCs w:val="20"/>
        </w:rPr>
      </w:pPr>
      <w:r>
        <w:rPr>
          <w:sz w:val="20"/>
          <w:szCs w:val="20"/>
        </w:rPr>
        <w:t xml:space="preserve">As </w:t>
      </w:r>
      <w:r w:rsidR="00E05BA0">
        <w:rPr>
          <w:sz w:val="20"/>
          <w:szCs w:val="20"/>
        </w:rPr>
        <w:t>and when appropriate</w:t>
      </w:r>
      <w:r>
        <w:rPr>
          <w:sz w:val="20"/>
          <w:szCs w:val="20"/>
        </w:rPr>
        <w:t>, t</w:t>
      </w:r>
      <w:r w:rsidR="00FD7784" w:rsidRPr="00904562">
        <w:rPr>
          <w:sz w:val="20"/>
          <w:szCs w:val="20"/>
        </w:rPr>
        <w:t>he Trustee</w:t>
      </w:r>
      <w:r w:rsidR="009E6226" w:rsidRPr="00904562">
        <w:rPr>
          <w:sz w:val="20"/>
          <w:szCs w:val="20"/>
        </w:rPr>
        <w:t xml:space="preserve"> provides supporting information to members to help them better understand their benefits and</w:t>
      </w:r>
      <w:r w:rsidR="00BA611B" w:rsidRPr="00904562">
        <w:rPr>
          <w:sz w:val="20"/>
          <w:szCs w:val="20"/>
        </w:rPr>
        <w:t xml:space="preserve"> options under the DC accoun</w:t>
      </w:r>
      <w:r w:rsidR="009E6226" w:rsidRPr="00904562">
        <w:rPr>
          <w:sz w:val="20"/>
          <w:szCs w:val="20"/>
        </w:rPr>
        <w:t>ts</w:t>
      </w:r>
      <w:r w:rsidR="005A5C93" w:rsidRPr="00904562">
        <w:rPr>
          <w:sz w:val="20"/>
          <w:szCs w:val="20"/>
        </w:rPr>
        <w:t xml:space="preserve"> </w:t>
      </w:r>
      <w:r w:rsidR="009929D4" w:rsidRPr="00904562">
        <w:rPr>
          <w:sz w:val="20"/>
          <w:szCs w:val="20"/>
        </w:rPr>
        <w:t>and ensure</w:t>
      </w:r>
      <w:r w:rsidR="00FD7784" w:rsidRPr="00904562">
        <w:rPr>
          <w:sz w:val="20"/>
          <w:szCs w:val="20"/>
        </w:rPr>
        <w:t>s</w:t>
      </w:r>
      <w:r w:rsidR="009929D4" w:rsidRPr="00904562">
        <w:rPr>
          <w:sz w:val="20"/>
          <w:szCs w:val="20"/>
        </w:rPr>
        <w:t xml:space="preserve"> these communicatio</w:t>
      </w:r>
      <w:r w:rsidR="009E6226" w:rsidRPr="00904562">
        <w:rPr>
          <w:sz w:val="20"/>
          <w:szCs w:val="20"/>
        </w:rPr>
        <w:t>ns are clear and engaging by taking professional advi</w:t>
      </w:r>
      <w:r w:rsidR="00F5284E" w:rsidRPr="00904562">
        <w:rPr>
          <w:sz w:val="20"/>
          <w:szCs w:val="20"/>
        </w:rPr>
        <w:t xml:space="preserve">ce. </w:t>
      </w:r>
      <w:r>
        <w:rPr>
          <w:sz w:val="20"/>
          <w:szCs w:val="20"/>
        </w:rPr>
        <w:t xml:space="preserve"> The costs of any such communication are not met by members</w:t>
      </w:r>
      <w:r w:rsidR="00BA611B" w:rsidRPr="00904562">
        <w:rPr>
          <w:sz w:val="20"/>
          <w:szCs w:val="20"/>
        </w:rPr>
        <w:t>.</w:t>
      </w:r>
    </w:p>
    <w:p w14:paraId="21A5B3FA" w14:textId="12DDB150" w:rsidR="009E6C3E" w:rsidRPr="00904562" w:rsidRDefault="002C6B4B" w:rsidP="0061475C">
      <w:pPr>
        <w:pStyle w:val="ListParagraph"/>
        <w:numPr>
          <w:ilvl w:val="0"/>
          <w:numId w:val="18"/>
        </w:numPr>
        <w:autoSpaceDE w:val="0"/>
        <w:autoSpaceDN w:val="0"/>
        <w:adjustRightInd w:val="0"/>
        <w:ind w:left="357" w:hanging="357"/>
        <w:jc w:val="both"/>
        <w:rPr>
          <w:sz w:val="20"/>
          <w:szCs w:val="20"/>
        </w:rPr>
      </w:pPr>
      <w:r w:rsidRPr="00904562">
        <w:rPr>
          <w:color w:val="000000" w:themeColor="text1"/>
          <w:sz w:val="20"/>
          <w:szCs w:val="20"/>
        </w:rPr>
        <w:t xml:space="preserve">Members </w:t>
      </w:r>
      <w:r w:rsidR="00BB48C4" w:rsidRPr="00904562">
        <w:rPr>
          <w:color w:val="000000" w:themeColor="text1"/>
          <w:sz w:val="20"/>
          <w:szCs w:val="20"/>
        </w:rPr>
        <w:t>can</w:t>
      </w:r>
      <w:r w:rsidR="003D5197" w:rsidRPr="00904562">
        <w:rPr>
          <w:color w:val="000000" w:themeColor="text1"/>
          <w:sz w:val="20"/>
          <w:szCs w:val="20"/>
        </w:rPr>
        <w:t xml:space="preserve"> access</w:t>
      </w:r>
      <w:r w:rsidR="009E6226" w:rsidRPr="00904562">
        <w:rPr>
          <w:color w:val="000000" w:themeColor="text1"/>
          <w:sz w:val="20"/>
          <w:szCs w:val="20"/>
        </w:rPr>
        <w:t xml:space="preserve"> additional</w:t>
      </w:r>
      <w:r w:rsidR="005A5C93" w:rsidRPr="00904562">
        <w:rPr>
          <w:color w:val="000000" w:themeColor="text1"/>
          <w:sz w:val="20"/>
          <w:szCs w:val="20"/>
        </w:rPr>
        <w:t xml:space="preserve"> information</w:t>
      </w:r>
      <w:r w:rsidR="00392DFE" w:rsidRPr="00904562">
        <w:rPr>
          <w:color w:val="000000" w:themeColor="text1"/>
          <w:sz w:val="20"/>
          <w:szCs w:val="20"/>
        </w:rPr>
        <w:t xml:space="preserve"> in relation to their DC accounts</w:t>
      </w:r>
      <w:r w:rsidR="005A5C93" w:rsidRPr="00904562">
        <w:rPr>
          <w:color w:val="000000" w:themeColor="text1"/>
          <w:sz w:val="20"/>
          <w:szCs w:val="20"/>
        </w:rPr>
        <w:t xml:space="preserve"> </w:t>
      </w:r>
      <w:r w:rsidR="00603DD7">
        <w:rPr>
          <w:color w:val="000000" w:themeColor="text1"/>
          <w:sz w:val="20"/>
          <w:szCs w:val="20"/>
        </w:rPr>
        <w:t xml:space="preserve">direct </w:t>
      </w:r>
      <w:r w:rsidR="005A5C93" w:rsidRPr="00904562">
        <w:rPr>
          <w:color w:val="000000" w:themeColor="text1"/>
          <w:sz w:val="20"/>
          <w:szCs w:val="20"/>
        </w:rPr>
        <w:t>from Aviva and Prudential</w:t>
      </w:r>
      <w:r w:rsidR="007B2162">
        <w:rPr>
          <w:color w:val="000000" w:themeColor="text1"/>
          <w:sz w:val="20"/>
          <w:szCs w:val="20"/>
        </w:rPr>
        <w:t xml:space="preserve"> free of charge</w:t>
      </w:r>
      <w:r w:rsidR="00F5284E" w:rsidRPr="00904562">
        <w:rPr>
          <w:color w:val="000000" w:themeColor="text1"/>
          <w:sz w:val="20"/>
          <w:szCs w:val="20"/>
        </w:rPr>
        <w:t>.</w:t>
      </w:r>
    </w:p>
    <w:p w14:paraId="66A6DF6F" w14:textId="77777777" w:rsidR="00F940F0" w:rsidRDefault="00F940F0" w:rsidP="00C27F92">
      <w:pPr>
        <w:pStyle w:val="BodyText"/>
        <w:spacing w:after="120"/>
        <w:ind w:left="0" w:firstLine="0"/>
        <w:jc w:val="both"/>
        <w:rPr>
          <w:rFonts w:asciiTheme="majorHAnsi" w:hAnsiTheme="majorHAnsi" w:cstheme="majorHAnsi"/>
          <w:b/>
        </w:rPr>
      </w:pPr>
    </w:p>
    <w:p w14:paraId="0223FC92" w14:textId="77777777" w:rsidR="00F940F0" w:rsidRDefault="00F940F0" w:rsidP="00C27F92">
      <w:pPr>
        <w:pStyle w:val="BodyText"/>
        <w:spacing w:after="120"/>
        <w:ind w:left="0" w:firstLine="0"/>
        <w:jc w:val="both"/>
        <w:rPr>
          <w:rFonts w:asciiTheme="majorHAnsi" w:hAnsiTheme="majorHAnsi" w:cstheme="majorHAnsi"/>
          <w:b/>
        </w:rPr>
      </w:pPr>
    </w:p>
    <w:p w14:paraId="2983EB79" w14:textId="77777777" w:rsidR="00674A85" w:rsidRDefault="00674A85" w:rsidP="00C27F92">
      <w:pPr>
        <w:pStyle w:val="BodyText"/>
        <w:spacing w:after="120"/>
        <w:ind w:left="0" w:firstLine="0"/>
        <w:jc w:val="both"/>
        <w:rPr>
          <w:rFonts w:asciiTheme="majorHAnsi" w:hAnsiTheme="majorHAnsi" w:cstheme="majorHAnsi"/>
          <w:b/>
        </w:rPr>
      </w:pPr>
    </w:p>
    <w:p w14:paraId="14A7E778" w14:textId="2AD6811D" w:rsidR="00365B47" w:rsidRPr="00904562" w:rsidRDefault="00D86548" w:rsidP="00C27F92">
      <w:pPr>
        <w:pStyle w:val="BodyText"/>
        <w:spacing w:after="120"/>
        <w:ind w:left="0" w:firstLine="0"/>
        <w:jc w:val="both"/>
        <w:rPr>
          <w:rFonts w:asciiTheme="majorHAnsi" w:hAnsiTheme="majorHAnsi" w:cstheme="majorHAnsi"/>
          <w:b/>
        </w:rPr>
      </w:pPr>
      <w:r w:rsidRPr="00904562">
        <w:rPr>
          <w:rFonts w:asciiTheme="majorHAnsi" w:hAnsiTheme="majorHAnsi" w:cstheme="majorHAnsi"/>
          <w:b/>
        </w:rPr>
        <w:t>M</w:t>
      </w:r>
      <w:r w:rsidR="009E6226" w:rsidRPr="00904562">
        <w:rPr>
          <w:rFonts w:asciiTheme="majorHAnsi" w:hAnsiTheme="majorHAnsi" w:cstheme="majorHAnsi"/>
          <w:b/>
        </w:rPr>
        <w:t>ONITORING</w:t>
      </w:r>
      <w:r w:rsidRPr="00904562">
        <w:rPr>
          <w:rFonts w:asciiTheme="majorHAnsi" w:hAnsiTheme="majorHAnsi" w:cstheme="majorHAnsi"/>
          <w:b/>
        </w:rPr>
        <w:t xml:space="preserve"> FINANCIAL TRANSACTIONS</w:t>
      </w:r>
    </w:p>
    <w:p w14:paraId="5FB3F6BB" w14:textId="658FE41A" w:rsidR="00211776" w:rsidRPr="00904562" w:rsidRDefault="0009239B" w:rsidP="0061475C">
      <w:pPr>
        <w:ind w:left="0" w:firstLine="0"/>
        <w:jc w:val="both"/>
        <w:rPr>
          <w:sz w:val="20"/>
          <w:szCs w:val="20"/>
        </w:rPr>
      </w:pPr>
      <w:r>
        <w:rPr>
          <w:color w:val="000000" w:themeColor="text1"/>
          <w:sz w:val="20"/>
          <w:szCs w:val="20"/>
        </w:rPr>
        <w:t>As</w:t>
      </w:r>
      <w:r w:rsidR="00392DFE" w:rsidRPr="00904562">
        <w:rPr>
          <w:color w:val="000000" w:themeColor="text1"/>
          <w:sz w:val="20"/>
          <w:szCs w:val="20"/>
        </w:rPr>
        <w:t xml:space="preserve"> few remaining members</w:t>
      </w:r>
      <w:r>
        <w:rPr>
          <w:color w:val="000000" w:themeColor="text1"/>
          <w:sz w:val="20"/>
          <w:szCs w:val="20"/>
        </w:rPr>
        <w:t xml:space="preserve"> </w:t>
      </w:r>
      <w:r w:rsidR="00AF1BE6">
        <w:rPr>
          <w:color w:val="000000" w:themeColor="text1"/>
          <w:sz w:val="20"/>
          <w:szCs w:val="20"/>
        </w:rPr>
        <w:t xml:space="preserve">of the Scheme </w:t>
      </w:r>
      <w:r>
        <w:rPr>
          <w:color w:val="000000" w:themeColor="text1"/>
          <w:sz w:val="20"/>
          <w:szCs w:val="20"/>
        </w:rPr>
        <w:t>have DC accounts</w:t>
      </w:r>
      <w:r w:rsidR="00392DFE" w:rsidRPr="00904562">
        <w:rPr>
          <w:color w:val="000000" w:themeColor="text1"/>
          <w:sz w:val="20"/>
          <w:szCs w:val="20"/>
        </w:rPr>
        <w:t xml:space="preserve"> and</w:t>
      </w:r>
      <w:r w:rsidR="000B0D16" w:rsidRPr="00904562">
        <w:rPr>
          <w:color w:val="000000" w:themeColor="text1"/>
          <w:sz w:val="20"/>
          <w:szCs w:val="20"/>
        </w:rPr>
        <w:t xml:space="preserve"> </w:t>
      </w:r>
      <w:r>
        <w:rPr>
          <w:color w:val="000000" w:themeColor="text1"/>
          <w:sz w:val="20"/>
          <w:szCs w:val="20"/>
        </w:rPr>
        <w:t xml:space="preserve">they </w:t>
      </w:r>
      <w:r w:rsidR="000B0D16" w:rsidRPr="00904562">
        <w:rPr>
          <w:color w:val="000000" w:themeColor="text1"/>
          <w:sz w:val="20"/>
          <w:szCs w:val="20"/>
        </w:rPr>
        <w:t>are closed to further contributions and transfers</w:t>
      </w:r>
      <w:r w:rsidR="00392DFE" w:rsidRPr="00904562">
        <w:rPr>
          <w:color w:val="000000" w:themeColor="text1"/>
          <w:sz w:val="20"/>
          <w:szCs w:val="20"/>
        </w:rPr>
        <w:t>-in</w:t>
      </w:r>
      <w:r w:rsidR="000B0D16" w:rsidRPr="00904562">
        <w:rPr>
          <w:color w:val="000000" w:themeColor="text1"/>
          <w:sz w:val="20"/>
          <w:szCs w:val="20"/>
        </w:rPr>
        <w:t>, financial transactions are limited and primarily relate to</w:t>
      </w:r>
      <w:r w:rsidR="00211776" w:rsidRPr="00904562">
        <w:rPr>
          <w:sz w:val="20"/>
          <w:szCs w:val="20"/>
        </w:rPr>
        <w:t>:</w:t>
      </w:r>
    </w:p>
    <w:p w14:paraId="26E551F2" w14:textId="40D1A729" w:rsidR="00211776" w:rsidRPr="00904562" w:rsidRDefault="006925A7" w:rsidP="0061475C">
      <w:pPr>
        <w:pStyle w:val="ListParagraph"/>
        <w:numPr>
          <w:ilvl w:val="0"/>
          <w:numId w:val="15"/>
        </w:numPr>
        <w:ind w:left="357" w:hanging="357"/>
        <w:jc w:val="both"/>
        <w:rPr>
          <w:sz w:val="20"/>
          <w:szCs w:val="20"/>
        </w:rPr>
      </w:pPr>
      <w:r w:rsidRPr="00904562">
        <w:rPr>
          <w:sz w:val="20"/>
          <w:szCs w:val="20"/>
        </w:rPr>
        <w:t>P</w:t>
      </w:r>
      <w:r w:rsidR="008E046C" w:rsidRPr="00904562">
        <w:rPr>
          <w:sz w:val="20"/>
          <w:szCs w:val="20"/>
        </w:rPr>
        <w:t>ayments</w:t>
      </w:r>
      <w:r w:rsidR="00603857" w:rsidRPr="00904562">
        <w:rPr>
          <w:sz w:val="20"/>
          <w:szCs w:val="20"/>
        </w:rPr>
        <w:t xml:space="preserve"> to and in respect of members</w:t>
      </w:r>
      <w:r w:rsidR="001D1AD8" w:rsidRPr="00904562">
        <w:rPr>
          <w:sz w:val="20"/>
          <w:szCs w:val="20"/>
        </w:rPr>
        <w:t xml:space="preserve"> </w:t>
      </w:r>
      <w:r w:rsidR="0050506B" w:rsidRPr="00904562">
        <w:rPr>
          <w:sz w:val="20"/>
          <w:szCs w:val="20"/>
        </w:rPr>
        <w:t>when the</w:t>
      </w:r>
      <w:r w:rsidR="007C2AA3">
        <w:rPr>
          <w:sz w:val="20"/>
          <w:szCs w:val="20"/>
        </w:rPr>
        <w:t>y</w:t>
      </w:r>
      <w:r w:rsidR="00392DFE" w:rsidRPr="00904562">
        <w:rPr>
          <w:sz w:val="20"/>
          <w:szCs w:val="20"/>
        </w:rPr>
        <w:t xml:space="preserve"> retire</w:t>
      </w:r>
      <w:r w:rsidR="001D1AD8" w:rsidRPr="00904562">
        <w:rPr>
          <w:sz w:val="20"/>
          <w:szCs w:val="20"/>
        </w:rPr>
        <w:t>, die or</w:t>
      </w:r>
      <w:r w:rsidR="00392DFE" w:rsidRPr="00904562">
        <w:rPr>
          <w:sz w:val="20"/>
          <w:szCs w:val="20"/>
        </w:rPr>
        <w:t xml:space="preserve"> choose to transfer</w:t>
      </w:r>
      <w:r w:rsidR="00F5284E" w:rsidRPr="00904562">
        <w:rPr>
          <w:sz w:val="20"/>
          <w:szCs w:val="20"/>
        </w:rPr>
        <w:t>-</w:t>
      </w:r>
      <w:r w:rsidR="008E046C" w:rsidRPr="00904562">
        <w:rPr>
          <w:sz w:val="20"/>
          <w:szCs w:val="20"/>
        </w:rPr>
        <w:t>ou</w:t>
      </w:r>
      <w:r w:rsidR="0050506B" w:rsidRPr="00904562">
        <w:rPr>
          <w:sz w:val="20"/>
          <w:szCs w:val="20"/>
        </w:rPr>
        <w:t>t of the Scheme</w:t>
      </w:r>
      <w:r w:rsidR="00C92B46">
        <w:rPr>
          <w:sz w:val="20"/>
          <w:szCs w:val="20"/>
        </w:rPr>
        <w:t>;</w:t>
      </w:r>
    </w:p>
    <w:p w14:paraId="478542FB" w14:textId="0FFBEDB6" w:rsidR="00426250" w:rsidRPr="00904562" w:rsidRDefault="00426250" w:rsidP="0061475C">
      <w:pPr>
        <w:pStyle w:val="ListParagraph"/>
        <w:numPr>
          <w:ilvl w:val="0"/>
          <w:numId w:val="15"/>
        </w:numPr>
        <w:ind w:left="357" w:hanging="357"/>
        <w:jc w:val="both"/>
        <w:rPr>
          <w:sz w:val="20"/>
          <w:szCs w:val="20"/>
        </w:rPr>
      </w:pPr>
      <w:r w:rsidRPr="00904562">
        <w:rPr>
          <w:sz w:val="20"/>
          <w:szCs w:val="20"/>
        </w:rPr>
        <w:t>Switches between</w:t>
      </w:r>
      <w:r w:rsidR="00392DFE" w:rsidRPr="00904562">
        <w:rPr>
          <w:sz w:val="20"/>
          <w:szCs w:val="20"/>
        </w:rPr>
        <w:t xml:space="preserve"> investment funds where request</w:t>
      </w:r>
      <w:r w:rsidRPr="00904562">
        <w:rPr>
          <w:sz w:val="20"/>
          <w:szCs w:val="20"/>
        </w:rPr>
        <w:t>ed by the member.</w:t>
      </w:r>
    </w:p>
    <w:p w14:paraId="6BDA6654" w14:textId="7B209AC3" w:rsidR="00820E1D" w:rsidRDefault="00837606" w:rsidP="0061475C">
      <w:pPr>
        <w:ind w:left="0" w:firstLine="0"/>
        <w:jc w:val="both"/>
        <w:rPr>
          <w:sz w:val="20"/>
          <w:szCs w:val="20"/>
        </w:rPr>
      </w:pPr>
      <w:r w:rsidRPr="00904562">
        <w:rPr>
          <w:sz w:val="20"/>
          <w:szCs w:val="20"/>
        </w:rPr>
        <w:t xml:space="preserve">These transactions are </w:t>
      </w:r>
      <w:r w:rsidR="00630ECF" w:rsidRPr="00904562">
        <w:rPr>
          <w:sz w:val="20"/>
          <w:szCs w:val="20"/>
        </w:rPr>
        <w:t xml:space="preserve">principally </w:t>
      </w:r>
      <w:r w:rsidRPr="00904562">
        <w:rPr>
          <w:sz w:val="20"/>
          <w:szCs w:val="20"/>
        </w:rPr>
        <w:t>undertaken</w:t>
      </w:r>
      <w:r w:rsidR="008D1B4E" w:rsidRPr="00904562">
        <w:rPr>
          <w:sz w:val="20"/>
          <w:szCs w:val="20"/>
        </w:rPr>
        <w:t xml:space="preserve"> on behalf of the Trustee</w:t>
      </w:r>
      <w:r w:rsidR="00392DFE" w:rsidRPr="00904562">
        <w:rPr>
          <w:sz w:val="20"/>
          <w:szCs w:val="20"/>
        </w:rPr>
        <w:t xml:space="preserve"> and member</w:t>
      </w:r>
      <w:r w:rsidRPr="00904562">
        <w:rPr>
          <w:sz w:val="20"/>
          <w:szCs w:val="20"/>
        </w:rPr>
        <w:t xml:space="preserve"> by </w:t>
      </w:r>
      <w:r w:rsidR="00426250" w:rsidRPr="00904562">
        <w:rPr>
          <w:sz w:val="20"/>
          <w:szCs w:val="20"/>
        </w:rPr>
        <w:t>Barnett Waddingham</w:t>
      </w:r>
      <w:r w:rsidR="005A5C93" w:rsidRPr="00904562">
        <w:rPr>
          <w:sz w:val="20"/>
          <w:szCs w:val="20"/>
        </w:rPr>
        <w:t xml:space="preserve"> </w:t>
      </w:r>
      <w:r w:rsidR="006925A7" w:rsidRPr="00904562">
        <w:rPr>
          <w:sz w:val="20"/>
          <w:szCs w:val="20"/>
        </w:rPr>
        <w:t>(</w:t>
      </w:r>
      <w:r w:rsidR="000B0D16" w:rsidRPr="00904562">
        <w:rPr>
          <w:sz w:val="20"/>
          <w:szCs w:val="20"/>
        </w:rPr>
        <w:t xml:space="preserve">the </w:t>
      </w:r>
      <w:r w:rsidR="005A5C93" w:rsidRPr="00904562">
        <w:rPr>
          <w:sz w:val="20"/>
          <w:szCs w:val="20"/>
        </w:rPr>
        <w:t>Scheme</w:t>
      </w:r>
      <w:r w:rsidR="00767A2A">
        <w:rPr>
          <w:sz w:val="20"/>
          <w:szCs w:val="20"/>
        </w:rPr>
        <w:t>’s</w:t>
      </w:r>
      <w:r w:rsidR="000B0D16" w:rsidRPr="00904562">
        <w:rPr>
          <w:sz w:val="20"/>
          <w:szCs w:val="20"/>
        </w:rPr>
        <w:t xml:space="preserve"> administrator</w:t>
      </w:r>
      <w:r w:rsidR="00DE136B" w:rsidRPr="00904562">
        <w:rPr>
          <w:sz w:val="20"/>
          <w:szCs w:val="20"/>
        </w:rPr>
        <w:t>)</w:t>
      </w:r>
      <w:r w:rsidR="00630ECF" w:rsidRPr="00904562">
        <w:rPr>
          <w:sz w:val="20"/>
          <w:szCs w:val="20"/>
        </w:rPr>
        <w:t xml:space="preserve"> </w:t>
      </w:r>
      <w:r w:rsidR="003C3C4E">
        <w:rPr>
          <w:sz w:val="20"/>
          <w:szCs w:val="20"/>
        </w:rPr>
        <w:t>in conjunction</w:t>
      </w:r>
      <w:r w:rsidR="00630ECF" w:rsidRPr="00904562">
        <w:rPr>
          <w:sz w:val="20"/>
          <w:szCs w:val="20"/>
        </w:rPr>
        <w:t xml:space="preserve"> with Aviva and Prudential as and when a member retires, chooses to transfer from the Scheme or wishes to make an investment change</w:t>
      </w:r>
      <w:r w:rsidR="005A5C93" w:rsidRPr="00904562">
        <w:rPr>
          <w:sz w:val="20"/>
          <w:szCs w:val="20"/>
        </w:rPr>
        <w:t>.</w:t>
      </w:r>
      <w:r w:rsidR="006925A7" w:rsidRPr="00904562">
        <w:rPr>
          <w:sz w:val="20"/>
          <w:szCs w:val="20"/>
        </w:rPr>
        <w:t xml:space="preserve"> </w:t>
      </w:r>
      <w:r w:rsidR="00AF1BE6">
        <w:rPr>
          <w:sz w:val="20"/>
          <w:szCs w:val="20"/>
        </w:rPr>
        <w:t xml:space="preserve"> </w:t>
      </w:r>
      <w:r w:rsidR="00C53714" w:rsidRPr="00904562">
        <w:rPr>
          <w:sz w:val="20"/>
          <w:szCs w:val="20"/>
        </w:rPr>
        <w:t>As part of its administration agreement with Barnett Waddingham, the Trustee has agreed service standards covering the administration of the Scheme, including the provision of information to members</w:t>
      </w:r>
      <w:r w:rsidR="00E05BA0">
        <w:rPr>
          <w:sz w:val="20"/>
          <w:szCs w:val="20"/>
        </w:rPr>
        <w:t xml:space="preserve"> as well as</w:t>
      </w:r>
      <w:r w:rsidR="00C53714" w:rsidRPr="00904562">
        <w:rPr>
          <w:sz w:val="20"/>
          <w:szCs w:val="20"/>
        </w:rPr>
        <w:t xml:space="preserve"> the </w:t>
      </w:r>
      <w:r w:rsidR="00AF1BE6">
        <w:rPr>
          <w:sz w:val="20"/>
          <w:szCs w:val="20"/>
        </w:rPr>
        <w:t xml:space="preserve">accuracy and timeliness of </w:t>
      </w:r>
      <w:r w:rsidR="00C53714" w:rsidRPr="00904562">
        <w:rPr>
          <w:sz w:val="20"/>
          <w:szCs w:val="20"/>
        </w:rPr>
        <w:t>benefit</w:t>
      </w:r>
      <w:r w:rsidR="00AF1BE6">
        <w:rPr>
          <w:sz w:val="20"/>
          <w:szCs w:val="20"/>
        </w:rPr>
        <w:t xml:space="preserve"> payments</w:t>
      </w:r>
      <w:r w:rsidR="00C53714" w:rsidRPr="00904562">
        <w:rPr>
          <w:sz w:val="20"/>
          <w:szCs w:val="20"/>
        </w:rPr>
        <w:t xml:space="preserve"> and other core financial transactions</w:t>
      </w:r>
      <w:r w:rsidR="009422DB">
        <w:rPr>
          <w:sz w:val="20"/>
          <w:szCs w:val="20"/>
        </w:rPr>
        <w:t>.  These agreed service levels also cover</w:t>
      </w:r>
      <w:r w:rsidR="00C53714" w:rsidRPr="00904562">
        <w:rPr>
          <w:sz w:val="20"/>
          <w:szCs w:val="20"/>
        </w:rPr>
        <w:t xml:space="preserve"> the DC accounts.</w:t>
      </w:r>
    </w:p>
    <w:p w14:paraId="7BA2E96B" w14:textId="5B81F8A4" w:rsidR="00A032BC" w:rsidRDefault="00AF1BE6" w:rsidP="0061475C">
      <w:pPr>
        <w:ind w:left="0" w:firstLine="0"/>
        <w:jc w:val="both"/>
        <w:rPr>
          <w:sz w:val="20"/>
          <w:szCs w:val="20"/>
        </w:rPr>
      </w:pPr>
      <w:r>
        <w:rPr>
          <w:sz w:val="20"/>
          <w:szCs w:val="20"/>
        </w:rPr>
        <w:t>The Trustee is satisfied that Barnett Waddingham has suitable processes and controls in place to ensure that it meets the agreed service standards</w:t>
      </w:r>
      <w:r w:rsidR="00DD1874">
        <w:rPr>
          <w:sz w:val="20"/>
          <w:szCs w:val="20"/>
        </w:rPr>
        <w:t xml:space="preserve">, which include the need for it to liaise with </w:t>
      </w:r>
      <w:r w:rsidR="001E5CDD">
        <w:rPr>
          <w:sz w:val="20"/>
          <w:szCs w:val="20"/>
        </w:rPr>
        <w:t>Prudential and Aviva in relation to those members with DC accounts</w:t>
      </w:r>
      <w:r w:rsidR="00820E1D">
        <w:rPr>
          <w:sz w:val="20"/>
          <w:szCs w:val="20"/>
        </w:rPr>
        <w:t xml:space="preserve">.  In addition, </w:t>
      </w:r>
      <w:r w:rsidR="00E7632F">
        <w:rPr>
          <w:sz w:val="20"/>
          <w:szCs w:val="20"/>
        </w:rPr>
        <w:t>t</w:t>
      </w:r>
      <w:r w:rsidR="00C53714" w:rsidRPr="00904562">
        <w:rPr>
          <w:sz w:val="20"/>
          <w:szCs w:val="20"/>
        </w:rPr>
        <w:t>he Trustee monitors</w:t>
      </w:r>
      <w:r w:rsidR="00211776" w:rsidRPr="00904562">
        <w:rPr>
          <w:sz w:val="20"/>
          <w:szCs w:val="20"/>
        </w:rPr>
        <w:t xml:space="preserve"> the</w:t>
      </w:r>
      <w:r w:rsidR="0027574C" w:rsidRPr="00904562">
        <w:rPr>
          <w:sz w:val="20"/>
          <w:szCs w:val="20"/>
        </w:rPr>
        <w:t xml:space="preserve"> accuracy and timeliness of the</w:t>
      </w:r>
      <w:r w:rsidR="00211776" w:rsidRPr="00904562">
        <w:rPr>
          <w:sz w:val="20"/>
          <w:szCs w:val="20"/>
        </w:rPr>
        <w:t xml:space="preserve"> </w:t>
      </w:r>
      <w:r w:rsidR="00DE136B" w:rsidRPr="00904562">
        <w:rPr>
          <w:sz w:val="20"/>
          <w:szCs w:val="20"/>
        </w:rPr>
        <w:t>core financial transactions</w:t>
      </w:r>
      <w:r w:rsidR="00C53714" w:rsidRPr="00904562">
        <w:rPr>
          <w:sz w:val="20"/>
          <w:szCs w:val="20"/>
        </w:rPr>
        <w:t xml:space="preserve"> by receiving</w:t>
      </w:r>
      <w:r w:rsidR="000B0D16" w:rsidRPr="00904562">
        <w:rPr>
          <w:sz w:val="20"/>
          <w:szCs w:val="20"/>
        </w:rPr>
        <w:t xml:space="preserve"> </w:t>
      </w:r>
      <w:r w:rsidR="007F10AC">
        <w:rPr>
          <w:sz w:val="20"/>
          <w:szCs w:val="20"/>
        </w:rPr>
        <w:t>regular</w:t>
      </w:r>
      <w:r w:rsidR="005C71AA" w:rsidRPr="00904562">
        <w:rPr>
          <w:sz w:val="20"/>
          <w:szCs w:val="20"/>
        </w:rPr>
        <w:t xml:space="preserve"> </w:t>
      </w:r>
      <w:r w:rsidR="000B0D16" w:rsidRPr="00904562">
        <w:rPr>
          <w:sz w:val="20"/>
          <w:szCs w:val="20"/>
        </w:rPr>
        <w:t>administratio</w:t>
      </w:r>
      <w:r w:rsidR="0074420F" w:rsidRPr="00904562">
        <w:rPr>
          <w:sz w:val="20"/>
          <w:szCs w:val="20"/>
        </w:rPr>
        <w:t>n reports</w:t>
      </w:r>
      <w:r w:rsidR="007F10AC">
        <w:rPr>
          <w:sz w:val="20"/>
          <w:szCs w:val="20"/>
        </w:rPr>
        <w:t>, presented at Trustee Meetings</w:t>
      </w:r>
      <w:r w:rsidR="0074420F" w:rsidRPr="00904562">
        <w:rPr>
          <w:sz w:val="20"/>
          <w:szCs w:val="20"/>
        </w:rPr>
        <w:t xml:space="preserve"> from</w:t>
      </w:r>
      <w:r w:rsidR="006925A7" w:rsidRPr="00904562">
        <w:rPr>
          <w:sz w:val="20"/>
          <w:szCs w:val="20"/>
        </w:rPr>
        <w:t xml:space="preserve"> </w:t>
      </w:r>
      <w:r w:rsidR="009422DB">
        <w:rPr>
          <w:sz w:val="20"/>
          <w:szCs w:val="20"/>
        </w:rPr>
        <w:t>Barnett Waddingham</w:t>
      </w:r>
      <w:r w:rsidR="00C53714" w:rsidRPr="00904562">
        <w:rPr>
          <w:sz w:val="20"/>
          <w:szCs w:val="20"/>
        </w:rPr>
        <w:t xml:space="preserve"> that include an analysis of its performance against the agreed service standards</w:t>
      </w:r>
      <w:r w:rsidR="00630ECF" w:rsidRPr="00904562">
        <w:rPr>
          <w:sz w:val="20"/>
          <w:szCs w:val="20"/>
        </w:rPr>
        <w:t>.</w:t>
      </w:r>
      <w:r w:rsidR="009422DB">
        <w:rPr>
          <w:sz w:val="20"/>
          <w:szCs w:val="20"/>
        </w:rPr>
        <w:t xml:space="preserve">  </w:t>
      </w:r>
    </w:p>
    <w:p w14:paraId="64D192B8" w14:textId="03D57D17" w:rsidR="00E1583F" w:rsidRPr="00F31301" w:rsidRDefault="0028318C" w:rsidP="0061475C">
      <w:pPr>
        <w:ind w:left="0" w:firstLine="0"/>
        <w:jc w:val="both"/>
        <w:rPr>
          <w:color w:val="000000" w:themeColor="text1"/>
          <w:sz w:val="20"/>
          <w:szCs w:val="20"/>
        </w:rPr>
      </w:pPr>
      <w:r w:rsidRPr="00F31301">
        <w:rPr>
          <w:color w:val="000000" w:themeColor="text1"/>
          <w:sz w:val="20"/>
          <w:szCs w:val="20"/>
        </w:rPr>
        <w:t>Durin</w:t>
      </w:r>
      <w:r w:rsidR="00EC27C1" w:rsidRPr="00F31301">
        <w:rPr>
          <w:color w:val="000000" w:themeColor="text1"/>
          <w:sz w:val="20"/>
          <w:szCs w:val="20"/>
        </w:rPr>
        <w:t>g the year to 31 March 202</w:t>
      </w:r>
      <w:r w:rsidR="001147F5" w:rsidRPr="00F31301">
        <w:rPr>
          <w:color w:val="000000" w:themeColor="text1"/>
          <w:sz w:val="20"/>
          <w:szCs w:val="20"/>
        </w:rPr>
        <w:t>5</w:t>
      </w:r>
      <w:r w:rsidR="00EC27C1" w:rsidRPr="00F31301">
        <w:rPr>
          <w:color w:val="000000" w:themeColor="text1"/>
          <w:sz w:val="20"/>
          <w:szCs w:val="20"/>
        </w:rPr>
        <w:t xml:space="preserve">, </w:t>
      </w:r>
      <w:r w:rsidR="008C556A" w:rsidRPr="00F31301">
        <w:rPr>
          <w:color w:val="000000" w:themeColor="text1"/>
          <w:sz w:val="20"/>
          <w:szCs w:val="20"/>
        </w:rPr>
        <w:t>three members</w:t>
      </w:r>
      <w:r w:rsidR="003160F5" w:rsidRPr="00F31301">
        <w:rPr>
          <w:color w:val="000000" w:themeColor="text1"/>
          <w:sz w:val="20"/>
          <w:szCs w:val="20"/>
        </w:rPr>
        <w:t xml:space="preserve"> took their</w:t>
      </w:r>
      <w:r w:rsidR="000F1B64" w:rsidRPr="00F31301">
        <w:rPr>
          <w:color w:val="000000" w:themeColor="text1"/>
          <w:sz w:val="20"/>
          <w:szCs w:val="20"/>
        </w:rPr>
        <w:t xml:space="preserve"> </w:t>
      </w:r>
      <w:r w:rsidR="003160F5" w:rsidRPr="00F31301">
        <w:rPr>
          <w:color w:val="000000" w:themeColor="text1"/>
          <w:sz w:val="20"/>
          <w:szCs w:val="20"/>
        </w:rPr>
        <w:t xml:space="preserve">benefits from </w:t>
      </w:r>
      <w:r w:rsidR="00192F95" w:rsidRPr="00F31301">
        <w:rPr>
          <w:color w:val="000000" w:themeColor="text1"/>
          <w:sz w:val="20"/>
          <w:szCs w:val="20"/>
        </w:rPr>
        <w:t>Aviva</w:t>
      </w:r>
      <w:r w:rsidR="00FB4A0B" w:rsidRPr="00F31301">
        <w:rPr>
          <w:color w:val="000000" w:themeColor="text1"/>
          <w:sz w:val="20"/>
          <w:szCs w:val="20"/>
        </w:rPr>
        <w:t xml:space="preserve"> and </w:t>
      </w:r>
      <w:r w:rsidR="008C556A" w:rsidRPr="00F31301">
        <w:rPr>
          <w:color w:val="000000" w:themeColor="text1"/>
          <w:sz w:val="20"/>
          <w:szCs w:val="20"/>
        </w:rPr>
        <w:t xml:space="preserve">three from Prudential and they were all </w:t>
      </w:r>
      <w:r w:rsidR="003D09F0" w:rsidRPr="00F31301">
        <w:rPr>
          <w:color w:val="000000" w:themeColor="text1"/>
          <w:sz w:val="20"/>
          <w:szCs w:val="20"/>
        </w:rPr>
        <w:t>processed in a timely manner</w:t>
      </w:r>
      <w:r w:rsidR="00E1583F" w:rsidRPr="00F31301">
        <w:rPr>
          <w:color w:val="000000" w:themeColor="text1"/>
          <w:sz w:val="20"/>
          <w:szCs w:val="20"/>
        </w:rPr>
        <w:t>.</w:t>
      </w:r>
      <w:r w:rsidR="00192F95" w:rsidRPr="00F31301">
        <w:rPr>
          <w:color w:val="000000" w:themeColor="text1"/>
          <w:sz w:val="20"/>
          <w:szCs w:val="20"/>
        </w:rPr>
        <w:t xml:space="preserve"> </w:t>
      </w:r>
    </w:p>
    <w:p w14:paraId="5D0A3FE0" w14:textId="7CC38A67" w:rsidR="005A5C93" w:rsidRDefault="00E1583F" w:rsidP="0061475C">
      <w:pPr>
        <w:ind w:left="0" w:firstLine="0"/>
        <w:jc w:val="both"/>
        <w:rPr>
          <w:sz w:val="20"/>
          <w:szCs w:val="20"/>
        </w:rPr>
      </w:pPr>
      <w:bookmarkStart w:id="0" w:name="_Hlk170733053"/>
      <w:r>
        <w:rPr>
          <w:sz w:val="20"/>
          <w:szCs w:val="20"/>
        </w:rPr>
        <w:t>Overall,</w:t>
      </w:r>
      <w:r w:rsidR="009422DB">
        <w:rPr>
          <w:sz w:val="20"/>
          <w:szCs w:val="20"/>
        </w:rPr>
        <w:t xml:space="preserve"> for the Scheme year </w:t>
      </w:r>
      <w:r w:rsidR="00E05BA0">
        <w:rPr>
          <w:sz w:val="20"/>
          <w:szCs w:val="20"/>
        </w:rPr>
        <w:t>ending 31 March 202</w:t>
      </w:r>
      <w:r w:rsidR="001427F1">
        <w:rPr>
          <w:sz w:val="20"/>
          <w:szCs w:val="20"/>
        </w:rPr>
        <w:t>5</w:t>
      </w:r>
      <w:r w:rsidR="009422DB">
        <w:rPr>
          <w:sz w:val="20"/>
          <w:szCs w:val="20"/>
        </w:rPr>
        <w:t>, the Trustee is satisfied that:</w:t>
      </w:r>
    </w:p>
    <w:p w14:paraId="1BBF8881" w14:textId="2AEF08E0" w:rsidR="009422DB" w:rsidRPr="00FE2B08" w:rsidRDefault="009422DB" w:rsidP="0061475C">
      <w:pPr>
        <w:pStyle w:val="ListParagraph"/>
        <w:numPr>
          <w:ilvl w:val="0"/>
          <w:numId w:val="31"/>
        </w:numPr>
        <w:ind w:left="357" w:hanging="357"/>
        <w:jc w:val="both"/>
        <w:rPr>
          <w:rStyle w:val="A3"/>
          <w:rFonts w:cstheme="minorBidi"/>
          <w:color w:val="000000" w:themeColor="text1"/>
        </w:rPr>
      </w:pPr>
      <w:r w:rsidRPr="00FE2B08">
        <w:rPr>
          <w:color w:val="000000" w:themeColor="text1"/>
          <w:sz w:val="20"/>
          <w:szCs w:val="20"/>
        </w:rPr>
        <w:t xml:space="preserve">Barnett Waddingham operated </w:t>
      </w:r>
      <w:r w:rsidRPr="00FE2B08">
        <w:rPr>
          <w:rStyle w:val="A3"/>
          <w:color w:val="000000" w:themeColor="text1"/>
        </w:rPr>
        <w:t xml:space="preserve">appropriate procedures, checks and controls in relation to the </w:t>
      </w:r>
      <w:r w:rsidR="00E05BA0" w:rsidRPr="00FE2B08">
        <w:rPr>
          <w:rStyle w:val="A3"/>
          <w:color w:val="000000" w:themeColor="text1"/>
        </w:rPr>
        <w:t xml:space="preserve">processing of </w:t>
      </w:r>
      <w:r w:rsidRPr="00FE2B08">
        <w:rPr>
          <w:rStyle w:val="A3"/>
          <w:color w:val="000000" w:themeColor="text1"/>
        </w:rPr>
        <w:t>core financial transactions</w:t>
      </w:r>
      <w:r w:rsidR="00616DF0" w:rsidRPr="00FE2B08">
        <w:rPr>
          <w:rStyle w:val="A3"/>
          <w:color w:val="000000" w:themeColor="text1"/>
        </w:rPr>
        <w:t xml:space="preserve"> for the DC accounts</w:t>
      </w:r>
      <w:r w:rsidR="00F604DE" w:rsidRPr="00FE2B08">
        <w:rPr>
          <w:rStyle w:val="A3"/>
          <w:color w:val="000000" w:themeColor="text1"/>
        </w:rPr>
        <w:t>;</w:t>
      </w:r>
    </w:p>
    <w:p w14:paraId="6669B6C8" w14:textId="53D06060" w:rsidR="009422DB" w:rsidRPr="00FE2B08" w:rsidRDefault="009422DB" w:rsidP="0061475C">
      <w:pPr>
        <w:pStyle w:val="ListParagraph"/>
        <w:numPr>
          <w:ilvl w:val="0"/>
          <w:numId w:val="31"/>
        </w:numPr>
        <w:ind w:left="357" w:hanging="357"/>
        <w:jc w:val="both"/>
        <w:rPr>
          <w:rStyle w:val="A3"/>
          <w:rFonts w:cstheme="minorBidi"/>
          <w:color w:val="000000" w:themeColor="text1"/>
        </w:rPr>
      </w:pPr>
      <w:r w:rsidRPr="00FE2B08">
        <w:rPr>
          <w:rStyle w:val="A3"/>
          <w:color w:val="000000" w:themeColor="text1"/>
        </w:rPr>
        <w:t xml:space="preserve">There have been no material administration errors </w:t>
      </w:r>
      <w:r w:rsidR="007D31CE" w:rsidRPr="00FE2B08">
        <w:rPr>
          <w:rStyle w:val="A3"/>
          <w:color w:val="000000" w:themeColor="text1"/>
        </w:rPr>
        <w:t xml:space="preserve">arising from </w:t>
      </w:r>
      <w:r w:rsidR="00634B30" w:rsidRPr="00FE2B08">
        <w:rPr>
          <w:rStyle w:val="A3"/>
          <w:color w:val="000000" w:themeColor="text1"/>
        </w:rPr>
        <w:t xml:space="preserve">the processing of </w:t>
      </w:r>
      <w:r w:rsidRPr="00FE2B08">
        <w:rPr>
          <w:rStyle w:val="A3"/>
          <w:color w:val="000000" w:themeColor="text1"/>
        </w:rPr>
        <w:t>core financial transactions</w:t>
      </w:r>
      <w:r w:rsidR="00634B30" w:rsidRPr="00FE2B08">
        <w:rPr>
          <w:rStyle w:val="A3"/>
          <w:color w:val="000000" w:themeColor="text1"/>
        </w:rPr>
        <w:t xml:space="preserve"> for the DC accounts</w:t>
      </w:r>
      <w:r w:rsidR="00F604DE" w:rsidRPr="00FE2B08">
        <w:rPr>
          <w:rStyle w:val="A3"/>
          <w:color w:val="000000" w:themeColor="text1"/>
        </w:rPr>
        <w:t>;</w:t>
      </w:r>
      <w:r w:rsidR="0028318C" w:rsidRPr="00FE2B08">
        <w:rPr>
          <w:rStyle w:val="A3"/>
          <w:color w:val="000000" w:themeColor="text1"/>
        </w:rPr>
        <w:t xml:space="preserve"> and</w:t>
      </w:r>
    </w:p>
    <w:p w14:paraId="048D03EA" w14:textId="754DF33A" w:rsidR="009D3194" w:rsidRPr="00FE2B08" w:rsidRDefault="009D3194" w:rsidP="0061475C">
      <w:pPr>
        <w:pStyle w:val="ListParagraph"/>
        <w:numPr>
          <w:ilvl w:val="0"/>
          <w:numId w:val="31"/>
        </w:numPr>
        <w:ind w:left="357" w:hanging="357"/>
        <w:jc w:val="both"/>
        <w:rPr>
          <w:color w:val="000000" w:themeColor="text1"/>
          <w:sz w:val="20"/>
          <w:szCs w:val="20"/>
        </w:rPr>
      </w:pPr>
      <w:r w:rsidRPr="00FE2B08">
        <w:rPr>
          <w:rStyle w:val="A3"/>
          <w:color w:val="000000" w:themeColor="text1"/>
        </w:rPr>
        <w:t xml:space="preserve">All core financial transactions </w:t>
      </w:r>
      <w:r w:rsidR="00F604DE" w:rsidRPr="00FE2B08">
        <w:rPr>
          <w:rStyle w:val="A3"/>
          <w:color w:val="000000" w:themeColor="text1"/>
        </w:rPr>
        <w:t xml:space="preserve">relating to the DC accounts </w:t>
      </w:r>
      <w:r w:rsidRPr="00FE2B08">
        <w:rPr>
          <w:rStyle w:val="A3"/>
          <w:color w:val="000000" w:themeColor="text1"/>
        </w:rPr>
        <w:t>have been processed accurately during the Scheme year ending 31 March 202</w:t>
      </w:r>
      <w:r w:rsidR="001427F1" w:rsidRPr="00FE2B08">
        <w:rPr>
          <w:rStyle w:val="A3"/>
          <w:color w:val="000000" w:themeColor="text1"/>
        </w:rPr>
        <w:t>5</w:t>
      </w:r>
      <w:r w:rsidRPr="00FE2B08">
        <w:rPr>
          <w:rStyle w:val="A3"/>
          <w:color w:val="000000" w:themeColor="text1"/>
        </w:rPr>
        <w:t>.</w:t>
      </w:r>
    </w:p>
    <w:bookmarkEnd w:id="0"/>
    <w:p w14:paraId="14A7E79B" w14:textId="2CCEBE58" w:rsidR="00CA4CC4" w:rsidRPr="00904562" w:rsidRDefault="00D86548" w:rsidP="00C27F92">
      <w:pPr>
        <w:spacing w:before="240" w:line="240" w:lineRule="auto"/>
        <w:ind w:left="0" w:firstLine="0"/>
        <w:rPr>
          <w:b/>
        </w:rPr>
      </w:pPr>
      <w:r w:rsidRPr="00904562">
        <w:rPr>
          <w:b/>
        </w:rPr>
        <w:t>TRUSTEE</w:t>
      </w:r>
      <w:r w:rsidR="001D3359" w:rsidRPr="00904562">
        <w:rPr>
          <w:b/>
        </w:rPr>
        <w:t xml:space="preserve"> KNOWLEDGE AND UNDERSTANDING</w:t>
      </w:r>
      <w:r w:rsidR="0050338A">
        <w:rPr>
          <w:b/>
        </w:rPr>
        <w:t xml:space="preserve"> (TKU)</w:t>
      </w:r>
    </w:p>
    <w:p w14:paraId="5A26EA5A" w14:textId="420993D6" w:rsidR="0050338A" w:rsidRPr="0050338A" w:rsidRDefault="003A06D7" w:rsidP="0061475C">
      <w:pPr>
        <w:pStyle w:val="Pa20"/>
        <w:spacing w:before="120" w:after="120"/>
        <w:jc w:val="both"/>
        <w:rPr>
          <w:rFonts w:asciiTheme="minorHAnsi" w:hAnsiTheme="minorHAnsi" w:cstheme="minorHAnsi"/>
          <w:color w:val="000000"/>
          <w:sz w:val="20"/>
          <w:szCs w:val="20"/>
        </w:rPr>
      </w:pPr>
      <w:r w:rsidRPr="0050338A">
        <w:rPr>
          <w:rStyle w:val="A3"/>
          <w:rFonts w:asciiTheme="minorHAnsi" w:hAnsiTheme="minorHAnsi" w:cstheme="minorHAnsi"/>
        </w:rPr>
        <w:t>The Scheme’s Trustee</w:t>
      </w:r>
      <w:r w:rsidR="0050338A">
        <w:rPr>
          <w:rStyle w:val="A3"/>
          <w:rFonts w:asciiTheme="minorHAnsi" w:hAnsiTheme="minorHAnsi" w:cstheme="minorHAnsi"/>
        </w:rPr>
        <w:t xml:space="preserve"> </w:t>
      </w:r>
      <w:r w:rsidRPr="0050338A">
        <w:rPr>
          <w:rStyle w:val="A3"/>
          <w:rFonts w:asciiTheme="minorHAnsi" w:hAnsiTheme="minorHAnsi" w:cstheme="minorHAnsi"/>
        </w:rPr>
        <w:t>Directors are required to maintain appropriate levels of knowledge and understanding to run the Scheme effectively</w:t>
      </w:r>
      <w:r w:rsidR="00CB4949">
        <w:rPr>
          <w:rStyle w:val="A3"/>
          <w:rFonts w:asciiTheme="minorHAnsi" w:hAnsiTheme="minorHAnsi" w:cstheme="minorHAnsi"/>
        </w:rPr>
        <w:t>.  As part</w:t>
      </w:r>
      <w:r w:rsidR="007622EC">
        <w:rPr>
          <w:rStyle w:val="A3"/>
          <w:rFonts w:asciiTheme="minorHAnsi" w:hAnsiTheme="minorHAnsi" w:cstheme="minorHAnsi"/>
        </w:rPr>
        <w:t xml:space="preserve"> of this, </w:t>
      </w:r>
      <w:r w:rsidR="0050338A">
        <w:rPr>
          <w:rStyle w:val="A3"/>
          <w:rFonts w:asciiTheme="minorHAnsi" w:hAnsiTheme="minorHAnsi" w:cstheme="minorHAnsi"/>
        </w:rPr>
        <w:t>e</w:t>
      </w:r>
      <w:r w:rsidRPr="0050338A">
        <w:rPr>
          <w:rStyle w:val="A3"/>
          <w:rFonts w:asciiTheme="minorHAnsi" w:hAnsiTheme="minorHAnsi" w:cstheme="minorHAnsi"/>
        </w:rPr>
        <w:t>ach Trustee Director must:</w:t>
      </w:r>
    </w:p>
    <w:p w14:paraId="195B73A0" w14:textId="30E8B0E3" w:rsidR="0050338A" w:rsidRPr="0050338A" w:rsidRDefault="003A06D7" w:rsidP="0061475C">
      <w:pPr>
        <w:pStyle w:val="Pa20"/>
        <w:numPr>
          <w:ilvl w:val="0"/>
          <w:numId w:val="32"/>
        </w:numPr>
        <w:spacing w:before="120" w:after="120"/>
        <w:ind w:left="357" w:hanging="357"/>
        <w:jc w:val="both"/>
        <w:rPr>
          <w:rFonts w:asciiTheme="minorHAnsi" w:hAnsiTheme="minorHAnsi" w:cstheme="minorHAnsi"/>
          <w:color w:val="000000"/>
          <w:sz w:val="20"/>
          <w:szCs w:val="20"/>
        </w:rPr>
      </w:pPr>
      <w:r w:rsidRPr="0050338A">
        <w:rPr>
          <w:rStyle w:val="A3"/>
          <w:rFonts w:asciiTheme="minorHAnsi" w:hAnsiTheme="minorHAnsi" w:cstheme="minorHAnsi"/>
        </w:rPr>
        <w:t xml:space="preserve">Be conversant with the </w:t>
      </w:r>
      <w:r w:rsidR="0050338A">
        <w:rPr>
          <w:rStyle w:val="A3"/>
          <w:rFonts w:asciiTheme="minorHAnsi" w:hAnsiTheme="minorHAnsi" w:cstheme="minorHAnsi"/>
        </w:rPr>
        <w:t>Scheme’s governing documents that include the T</w:t>
      </w:r>
      <w:r w:rsidRPr="0050338A">
        <w:rPr>
          <w:rStyle w:val="A3"/>
          <w:rFonts w:asciiTheme="minorHAnsi" w:hAnsiTheme="minorHAnsi" w:cstheme="minorHAnsi"/>
        </w:rPr>
        <w:t xml:space="preserve">rust </w:t>
      </w:r>
      <w:r w:rsidR="0050338A">
        <w:rPr>
          <w:rStyle w:val="A3"/>
          <w:rFonts w:asciiTheme="minorHAnsi" w:hAnsiTheme="minorHAnsi" w:cstheme="minorHAnsi"/>
        </w:rPr>
        <w:t>D</w:t>
      </w:r>
      <w:r w:rsidRPr="0050338A">
        <w:rPr>
          <w:rStyle w:val="A3"/>
          <w:rFonts w:asciiTheme="minorHAnsi" w:hAnsiTheme="minorHAnsi" w:cstheme="minorHAnsi"/>
        </w:rPr>
        <w:t xml:space="preserve">eed and </w:t>
      </w:r>
      <w:r w:rsidR="0050338A">
        <w:rPr>
          <w:rStyle w:val="A3"/>
          <w:rFonts w:asciiTheme="minorHAnsi" w:hAnsiTheme="minorHAnsi" w:cstheme="minorHAnsi"/>
        </w:rPr>
        <w:t>R</w:t>
      </w:r>
      <w:r w:rsidRPr="0050338A">
        <w:rPr>
          <w:rStyle w:val="A3"/>
          <w:rFonts w:asciiTheme="minorHAnsi" w:hAnsiTheme="minorHAnsi" w:cstheme="minorHAnsi"/>
        </w:rPr>
        <w:t xml:space="preserve">ules, the </w:t>
      </w:r>
      <w:r w:rsidR="0050338A">
        <w:rPr>
          <w:rStyle w:val="A3"/>
          <w:rFonts w:asciiTheme="minorHAnsi" w:hAnsiTheme="minorHAnsi" w:cstheme="minorHAnsi"/>
        </w:rPr>
        <w:t>S</w:t>
      </w:r>
      <w:r w:rsidRPr="0050338A">
        <w:rPr>
          <w:rStyle w:val="A3"/>
          <w:rFonts w:asciiTheme="minorHAnsi" w:hAnsiTheme="minorHAnsi" w:cstheme="minorHAnsi"/>
        </w:rPr>
        <w:t xml:space="preserve">tatement of </w:t>
      </w:r>
      <w:r w:rsidR="0050338A">
        <w:rPr>
          <w:rStyle w:val="A3"/>
          <w:rFonts w:asciiTheme="minorHAnsi" w:hAnsiTheme="minorHAnsi" w:cstheme="minorHAnsi"/>
        </w:rPr>
        <w:t>I</w:t>
      </w:r>
      <w:r w:rsidRPr="0050338A">
        <w:rPr>
          <w:rStyle w:val="A3"/>
          <w:rFonts w:asciiTheme="minorHAnsi" w:hAnsiTheme="minorHAnsi" w:cstheme="minorHAnsi"/>
        </w:rPr>
        <w:t xml:space="preserve">nvestment </w:t>
      </w:r>
      <w:r w:rsidR="0050338A">
        <w:rPr>
          <w:rStyle w:val="A3"/>
          <w:rFonts w:asciiTheme="minorHAnsi" w:hAnsiTheme="minorHAnsi" w:cstheme="minorHAnsi"/>
        </w:rPr>
        <w:t>P</w:t>
      </w:r>
      <w:r w:rsidRPr="0050338A">
        <w:rPr>
          <w:rStyle w:val="A3"/>
          <w:rFonts w:asciiTheme="minorHAnsi" w:hAnsiTheme="minorHAnsi" w:cstheme="minorHAnsi"/>
        </w:rPr>
        <w:t xml:space="preserve">rinciples and any other </w:t>
      </w:r>
      <w:r w:rsidR="0050338A">
        <w:rPr>
          <w:rStyle w:val="A3"/>
          <w:rFonts w:asciiTheme="minorHAnsi" w:hAnsiTheme="minorHAnsi" w:cstheme="minorHAnsi"/>
        </w:rPr>
        <w:t xml:space="preserve">policy </w:t>
      </w:r>
      <w:r w:rsidRPr="0050338A">
        <w:rPr>
          <w:rStyle w:val="A3"/>
          <w:rFonts w:asciiTheme="minorHAnsi" w:hAnsiTheme="minorHAnsi" w:cstheme="minorHAnsi"/>
        </w:rPr>
        <w:t>document</w:t>
      </w:r>
      <w:r w:rsidR="0050338A">
        <w:rPr>
          <w:rStyle w:val="A3"/>
          <w:rFonts w:asciiTheme="minorHAnsi" w:hAnsiTheme="minorHAnsi" w:cstheme="minorHAnsi"/>
        </w:rPr>
        <w:t>s</w:t>
      </w:r>
      <w:r w:rsidRPr="0050338A">
        <w:rPr>
          <w:rStyle w:val="A3"/>
          <w:rFonts w:asciiTheme="minorHAnsi" w:hAnsiTheme="minorHAnsi" w:cstheme="minorHAnsi"/>
        </w:rPr>
        <w:t xml:space="preserve"> relating to the </w:t>
      </w:r>
      <w:r w:rsidR="0050338A">
        <w:rPr>
          <w:rStyle w:val="A3"/>
          <w:rFonts w:asciiTheme="minorHAnsi" w:hAnsiTheme="minorHAnsi" w:cstheme="minorHAnsi"/>
        </w:rPr>
        <w:t xml:space="preserve">operation and </w:t>
      </w:r>
      <w:r w:rsidRPr="0050338A">
        <w:rPr>
          <w:rStyle w:val="A3"/>
          <w:rFonts w:asciiTheme="minorHAnsi" w:hAnsiTheme="minorHAnsi" w:cstheme="minorHAnsi"/>
        </w:rPr>
        <w:t>administration of the Schem</w:t>
      </w:r>
      <w:r w:rsidR="0050338A">
        <w:rPr>
          <w:rStyle w:val="A3"/>
          <w:rFonts w:asciiTheme="minorHAnsi" w:hAnsiTheme="minorHAnsi" w:cstheme="minorHAnsi"/>
        </w:rPr>
        <w:t>e</w:t>
      </w:r>
      <w:r w:rsidR="00C54DC6">
        <w:rPr>
          <w:rStyle w:val="A3"/>
          <w:rFonts w:asciiTheme="minorHAnsi" w:hAnsiTheme="minorHAnsi" w:cstheme="minorHAnsi"/>
        </w:rPr>
        <w:t xml:space="preserve"> and</w:t>
      </w:r>
      <w:r w:rsidR="00357740">
        <w:rPr>
          <w:rStyle w:val="A3"/>
          <w:rFonts w:asciiTheme="minorHAnsi" w:hAnsiTheme="minorHAnsi" w:cstheme="minorHAnsi"/>
        </w:rPr>
        <w:t xml:space="preserve"> the DC accounts</w:t>
      </w:r>
      <w:r w:rsidR="00C54DC6">
        <w:rPr>
          <w:rStyle w:val="A3"/>
          <w:rFonts w:asciiTheme="minorHAnsi" w:hAnsiTheme="minorHAnsi" w:cstheme="minorHAnsi"/>
        </w:rPr>
        <w:t>;</w:t>
      </w:r>
    </w:p>
    <w:p w14:paraId="6EDBF474" w14:textId="7CC6DA59" w:rsidR="003A06D7" w:rsidRPr="0050338A" w:rsidRDefault="003A06D7" w:rsidP="0061475C">
      <w:pPr>
        <w:pStyle w:val="ListParagraph"/>
        <w:numPr>
          <w:ilvl w:val="0"/>
          <w:numId w:val="32"/>
        </w:numPr>
        <w:ind w:left="357" w:hanging="357"/>
        <w:jc w:val="both"/>
        <w:rPr>
          <w:sz w:val="20"/>
          <w:szCs w:val="20"/>
        </w:rPr>
      </w:pPr>
      <w:r>
        <w:rPr>
          <w:rStyle w:val="A3"/>
        </w:rPr>
        <w:t>Have knowledge and understanding of the law relating to pensions and trusts</w:t>
      </w:r>
      <w:r w:rsidR="0050338A">
        <w:rPr>
          <w:rStyle w:val="A3"/>
        </w:rPr>
        <w:t xml:space="preserve"> together with</w:t>
      </w:r>
      <w:r>
        <w:rPr>
          <w:rStyle w:val="A3"/>
        </w:rPr>
        <w:t xml:space="preserve"> the principles relating to </w:t>
      </w:r>
      <w:r w:rsidR="0050338A">
        <w:rPr>
          <w:rStyle w:val="A3"/>
        </w:rPr>
        <w:t xml:space="preserve">the </w:t>
      </w:r>
      <w:r>
        <w:rPr>
          <w:rStyle w:val="A3"/>
        </w:rPr>
        <w:t xml:space="preserve">investment </w:t>
      </w:r>
      <w:r w:rsidR="0050338A">
        <w:rPr>
          <w:rStyle w:val="A3"/>
        </w:rPr>
        <w:t xml:space="preserve">of </w:t>
      </w:r>
      <w:r>
        <w:rPr>
          <w:rStyle w:val="A3"/>
        </w:rPr>
        <w:t>the</w:t>
      </w:r>
      <w:r w:rsidR="0050338A">
        <w:rPr>
          <w:rStyle w:val="A3"/>
        </w:rPr>
        <w:t xml:space="preserve"> Scheme’s</w:t>
      </w:r>
      <w:r>
        <w:rPr>
          <w:rStyle w:val="A3"/>
        </w:rPr>
        <w:t xml:space="preserve"> assets</w:t>
      </w:r>
      <w:r w:rsidR="009216C4">
        <w:rPr>
          <w:rStyle w:val="A3"/>
        </w:rPr>
        <w:t xml:space="preserve"> and</w:t>
      </w:r>
      <w:r w:rsidR="0050338A">
        <w:rPr>
          <w:rStyle w:val="A3"/>
        </w:rPr>
        <w:t xml:space="preserve"> the DC accounts</w:t>
      </w:r>
      <w:r>
        <w:rPr>
          <w:rStyle w:val="A3"/>
        </w:rPr>
        <w:t>.</w:t>
      </w:r>
    </w:p>
    <w:p w14:paraId="63178EEE" w14:textId="36B354FB" w:rsidR="0050338A" w:rsidRDefault="0050338A" w:rsidP="0061475C">
      <w:pPr>
        <w:ind w:left="0" w:firstLine="0"/>
        <w:jc w:val="both"/>
        <w:rPr>
          <w:sz w:val="20"/>
          <w:szCs w:val="20"/>
        </w:rPr>
      </w:pPr>
      <w:r>
        <w:rPr>
          <w:sz w:val="20"/>
          <w:szCs w:val="20"/>
        </w:rPr>
        <w:t>In order to comply with the above</w:t>
      </w:r>
      <w:r w:rsidR="0085786F" w:rsidRPr="00904562">
        <w:rPr>
          <w:sz w:val="20"/>
          <w:szCs w:val="20"/>
        </w:rPr>
        <w:t xml:space="preserve"> and i</w:t>
      </w:r>
      <w:r w:rsidR="009633B3" w:rsidRPr="00904562">
        <w:rPr>
          <w:sz w:val="20"/>
          <w:szCs w:val="20"/>
        </w:rPr>
        <w:t>n line with the</w:t>
      </w:r>
      <w:r w:rsidR="008E1F02" w:rsidRPr="00904562">
        <w:rPr>
          <w:sz w:val="20"/>
          <w:szCs w:val="20"/>
        </w:rPr>
        <w:t xml:space="preserve"> guidance provided in the</w:t>
      </w:r>
      <w:r w:rsidR="009633B3" w:rsidRPr="00904562">
        <w:rPr>
          <w:sz w:val="20"/>
          <w:szCs w:val="20"/>
        </w:rPr>
        <w:t xml:space="preserve"> Pensions Regulator’s Code of Practice No. </w:t>
      </w:r>
      <w:r w:rsidR="008E1F02" w:rsidRPr="00904562">
        <w:rPr>
          <w:sz w:val="20"/>
          <w:szCs w:val="20"/>
        </w:rPr>
        <w:t>7</w:t>
      </w:r>
      <w:r w:rsidR="009633B3" w:rsidRPr="00904562">
        <w:rPr>
          <w:sz w:val="20"/>
          <w:szCs w:val="20"/>
        </w:rPr>
        <w:t>, t</w:t>
      </w:r>
      <w:r w:rsidR="008E046C" w:rsidRPr="00904562">
        <w:rPr>
          <w:sz w:val="20"/>
          <w:szCs w:val="20"/>
        </w:rPr>
        <w:t>he Trustee</w:t>
      </w:r>
      <w:r w:rsidR="00A14F21" w:rsidRPr="00904562">
        <w:rPr>
          <w:sz w:val="20"/>
          <w:szCs w:val="20"/>
        </w:rPr>
        <w:t xml:space="preserve"> has</w:t>
      </w:r>
      <w:r w:rsidR="008E046C" w:rsidRPr="00904562">
        <w:rPr>
          <w:sz w:val="20"/>
          <w:szCs w:val="20"/>
        </w:rPr>
        <w:t xml:space="preserve"> a</w:t>
      </w:r>
      <w:r w:rsidR="0085786F" w:rsidRPr="00904562">
        <w:rPr>
          <w:sz w:val="20"/>
          <w:szCs w:val="20"/>
        </w:rPr>
        <w:t xml:space="preserve"> process in place to ensure </w:t>
      </w:r>
      <w:r>
        <w:rPr>
          <w:sz w:val="20"/>
          <w:szCs w:val="20"/>
        </w:rPr>
        <w:t>each Trustee Director</w:t>
      </w:r>
      <w:r w:rsidR="00A14F21" w:rsidRPr="00904562">
        <w:rPr>
          <w:sz w:val="20"/>
          <w:szCs w:val="20"/>
        </w:rPr>
        <w:t xml:space="preserve"> has</w:t>
      </w:r>
      <w:r w:rsidR="008E1F02" w:rsidRPr="00904562">
        <w:rPr>
          <w:sz w:val="20"/>
          <w:szCs w:val="20"/>
        </w:rPr>
        <w:t xml:space="preserve"> the appropriate</w:t>
      </w:r>
      <w:r w:rsidR="0085786F" w:rsidRPr="00904562">
        <w:rPr>
          <w:sz w:val="20"/>
          <w:szCs w:val="20"/>
        </w:rPr>
        <w:t xml:space="preserve"> knowledge</w:t>
      </w:r>
      <w:r w:rsidR="008E1F02" w:rsidRPr="00904562">
        <w:rPr>
          <w:sz w:val="20"/>
          <w:szCs w:val="20"/>
        </w:rPr>
        <w:t xml:space="preserve"> and understanding</w:t>
      </w:r>
      <w:r w:rsidR="00A14F21" w:rsidRPr="00904562">
        <w:rPr>
          <w:sz w:val="20"/>
          <w:szCs w:val="20"/>
        </w:rPr>
        <w:t xml:space="preserve"> to enable </w:t>
      </w:r>
      <w:r>
        <w:rPr>
          <w:sz w:val="20"/>
          <w:szCs w:val="20"/>
        </w:rPr>
        <w:t>them to undertake their</w:t>
      </w:r>
      <w:r w:rsidR="0085786F" w:rsidRPr="00904562">
        <w:rPr>
          <w:sz w:val="20"/>
          <w:szCs w:val="20"/>
        </w:rPr>
        <w:t xml:space="preserve"> duties and responsibilities in relation to </w:t>
      </w:r>
      <w:r w:rsidR="002C4118" w:rsidRPr="00904562">
        <w:rPr>
          <w:sz w:val="20"/>
          <w:szCs w:val="20"/>
        </w:rPr>
        <w:t>the</w:t>
      </w:r>
      <w:r w:rsidR="004D32B9">
        <w:rPr>
          <w:sz w:val="20"/>
          <w:szCs w:val="20"/>
        </w:rPr>
        <w:t xml:space="preserve"> Scheme</w:t>
      </w:r>
      <w:r>
        <w:rPr>
          <w:sz w:val="20"/>
          <w:szCs w:val="20"/>
        </w:rPr>
        <w:t xml:space="preserve"> and</w:t>
      </w:r>
      <w:r w:rsidR="004D32B9">
        <w:rPr>
          <w:sz w:val="20"/>
          <w:szCs w:val="20"/>
        </w:rPr>
        <w:t xml:space="preserve"> the</w:t>
      </w:r>
      <w:r w:rsidR="002C4118" w:rsidRPr="00904562">
        <w:rPr>
          <w:sz w:val="20"/>
          <w:szCs w:val="20"/>
        </w:rPr>
        <w:t xml:space="preserve"> DC account</w:t>
      </w:r>
      <w:r w:rsidR="004D32B9">
        <w:rPr>
          <w:sz w:val="20"/>
          <w:szCs w:val="20"/>
        </w:rPr>
        <w:t>s</w:t>
      </w:r>
      <w:r w:rsidR="0085786F" w:rsidRPr="00904562">
        <w:rPr>
          <w:sz w:val="20"/>
          <w:szCs w:val="20"/>
        </w:rPr>
        <w:t xml:space="preserve">. </w:t>
      </w:r>
      <w:r>
        <w:rPr>
          <w:sz w:val="20"/>
          <w:szCs w:val="20"/>
        </w:rPr>
        <w:t xml:space="preserve"> For example, </w:t>
      </w:r>
      <w:r w:rsidR="001F6066" w:rsidRPr="00904562">
        <w:rPr>
          <w:sz w:val="20"/>
          <w:szCs w:val="20"/>
        </w:rPr>
        <w:t xml:space="preserve">all Scheme documents are available to the Trustee </w:t>
      </w:r>
      <w:r w:rsidR="001F6066">
        <w:rPr>
          <w:sz w:val="20"/>
          <w:szCs w:val="20"/>
        </w:rPr>
        <w:t xml:space="preserve">Directors </w:t>
      </w:r>
      <w:r w:rsidR="001F6066" w:rsidRPr="00904562">
        <w:rPr>
          <w:sz w:val="20"/>
          <w:szCs w:val="20"/>
        </w:rPr>
        <w:t>on a dedicated Trustee site</w:t>
      </w:r>
      <w:r w:rsidR="001F6066">
        <w:rPr>
          <w:sz w:val="20"/>
          <w:szCs w:val="20"/>
        </w:rPr>
        <w:t>, which</w:t>
      </w:r>
      <w:r w:rsidR="001F6066" w:rsidRPr="00715BF1">
        <w:rPr>
          <w:sz w:val="20"/>
          <w:szCs w:val="20"/>
        </w:rPr>
        <w:t xml:space="preserve"> allows </w:t>
      </w:r>
      <w:r w:rsidR="001F6066">
        <w:rPr>
          <w:sz w:val="20"/>
          <w:szCs w:val="20"/>
        </w:rPr>
        <w:t>each</w:t>
      </w:r>
      <w:r w:rsidR="001F6066" w:rsidRPr="00715BF1">
        <w:rPr>
          <w:sz w:val="20"/>
          <w:szCs w:val="20"/>
        </w:rPr>
        <w:t xml:space="preserve"> Trustee </w:t>
      </w:r>
      <w:r w:rsidR="001F6066">
        <w:rPr>
          <w:sz w:val="20"/>
          <w:szCs w:val="20"/>
        </w:rPr>
        <w:t xml:space="preserve">Director </w:t>
      </w:r>
      <w:r w:rsidR="001F6066" w:rsidRPr="00715BF1">
        <w:rPr>
          <w:sz w:val="20"/>
          <w:szCs w:val="20"/>
        </w:rPr>
        <w:t>to maintain a working knowledge of the Scheme’s key documents,</w:t>
      </w:r>
      <w:r w:rsidR="001F6066">
        <w:rPr>
          <w:sz w:val="20"/>
          <w:szCs w:val="20"/>
        </w:rPr>
        <w:t xml:space="preserve"> such as</w:t>
      </w:r>
      <w:r w:rsidR="001F6066" w:rsidRPr="00715BF1">
        <w:rPr>
          <w:sz w:val="20"/>
          <w:szCs w:val="20"/>
        </w:rPr>
        <w:t xml:space="preserve"> the Trust Deed and Rules</w:t>
      </w:r>
      <w:r w:rsidR="001F6066">
        <w:rPr>
          <w:sz w:val="20"/>
          <w:szCs w:val="20"/>
        </w:rPr>
        <w:t xml:space="preserve"> and</w:t>
      </w:r>
      <w:r w:rsidR="001F6066" w:rsidRPr="00715BF1">
        <w:rPr>
          <w:sz w:val="20"/>
          <w:szCs w:val="20"/>
        </w:rPr>
        <w:t xml:space="preserve"> the Statement of Investment Principles</w:t>
      </w:r>
      <w:r w:rsidR="004C2EE7">
        <w:rPr>
          <w:sz w:val="20"/>
          <w:szCs w:val="20"/>
        </w:rPr>
        <w:t>, by referring to them as and when required</w:t>
      </w:r>
      <w:r w:rsidR="001F6066">
        <w:rPr>
          <w:sz w:val="20"/>
          <w:szCs w:val="20"/>
        </w:rPr>
        <w:t>.</w:t>
      </w:r>
    </w:p>
    <w:p w14:paraId="23178AD2" w14:textId="1E3F110E" w:rsidR="00392DFE" w:rsidRPr="00715BF1" w:rsidRDefault="001F6066" w:rsidP="0061475C">
      <w:pPr>
        <w:ind w:left="0" w:firstLine="0"/>
        <w:jc w:val="both"/>
        <w:rPr>
          <w:sz w:val="20"/>
          <w:szCs w:val="20"/>
        </w:rPr>
      </w:pPr>
      <w:r>
        <w:rPr>
          <w:sz w:val="20"/>
          <w:szCs w:val="20"/>
        </w:rPr>
        <w:lastRenderedPageBreak/>
        <w:t>T</w:t>
      </w:r>
      <w:r w:rsidR="002C7372" w:rsidRPr="00904562">
        <w:rPr>
          <w:sz w:val="20"/>
          <w:szCs w:val="20"/>
        </w:rPr>
        <w:t>he Trustee keeps under regular review its approach to complying with its TKU requirements.</w:t>
      </w:r>
    </w:p>
    <w:p w14:paraId="004DB054" w14:textId="0CCC0F93" w:rsidR="009633B3" w:rsidRPr="00904562" w:rsidRDefault="00A86DA3" w:rsidP="0061475C">
      <w:pPr>
        <w:ind w:left="0" w:firstLine="0"/>
        <w:jc w:val="both"/>
        <w:rPr>
          <w:sz w:val="20"/>
          <w:szCs w:val="20"/>
        </w:rPr>
      </w:pPr>
      <w:r w:rsidRPr="00904562">
        <w:rPr>
          <w:sz w:val="20"/>
          <w:szCs w:val="20"/>
        </w:rPr>
        <w:t>The above</w:t>
      </w:r>
      <w:r w:rsidR="0085786F" w:rsidRPr="00904562">
        <w:rPr>
          <w:sz w:val="20"/>
          <w:szCs w:val="20"/>
        </w:rPr>
        <w:t xml:space="preserve"> is supplemented as required by professional </w:t>
      </w:r>
      <w:r w:rsidR="00A32D22" w:rsidRPr="00904562">
        <w:rPr>
          <w:sz w:val="20"/>
          <w:szCs w:val="20"/>
        </w:rPr>
        <w:t xml:space="preserve">advice available </w:t>
      </w:r>
      <w:r w:rsidR="009633B3" w:rsidRPr="00904562">
        <w:rPr>
          <w:sz w:val="20"/>
          <w:szCs w:val="20"/>
        </w:rPr>
        <w:t>from th</w:t>
      </w:r>
      <w:r w:rsidR="00F473D6" w:rsidRPr="00904562">
        <w:rPr>
          <w:sz w:val="20"/>
          <w:szCs w:val="20"/>
        </w:rPr>
        <w:t>e Trustee</w:t>
      </w:r>
      <w:r w:rsidR="00F5284E" w:rsidRPr="00904562">
        <w:rPr>
          <w:sz w:val="20"/>
          <w:szCs w:val="20"/>
        </w:rPr>
        <w:t>’s</w:t>
      </w:r>
      <w:r w:rsidR="008E046C" w:rsidRPr="00904562">
        <w:rPr>
          <w:sz w:val="20"/>
          <w:szCs w:val="20"/>
        </w:rPr>
        <w:t xml:space="preserve"> advisers</w:t>
      </w:r>
      <w:r w:rsidR="00006815">
        <w:rPr>
          <w:sz w:val="20"/>
          <w:szCs w:val="20"/>
        </w:rPr>
        <w:t xml:space="preserve"> that ensures the Trustee continues to have a sufficient</w:t>
      </w:r>
      <w:r w:rsidR="004C2EE7">
        <w:rPr>
          <w:sz w:val="20"/>
          <w:szCs w:val="20"/>
        </w:rPr>
        <w:t xml:space="preserve"> and up to date</w:t>
      </w:r>
      <w:r w:rsidR="00006815">
        <w:rPr>
          <w:sz w:val="20"/>
          <w:szCs w:val="20"/>
        </w:rPr>
        <w:t xml:space="preserve"> knowledge and understanding of the law relating to pensions</w:t>
      </w:r>
      <w:r w:rsidR="0085786F" w:rsidRPr="00904562">
        <w:rPr>
          <w:sz w:val="20"/>
          <w:szCs w:val="20"/>
        </w:rPr>
        <w:t>.</w:t>
      </w:r>
      <w:r w:rsidR="001F6066">
        <w:rPr>
          <w:sz w:val="20"/>
          <w:szCs w:val="20"/>
        </w:rPr>
        <w:t xml:space="preserve">  As part of this, the Trustee’s advisers attend the quarterly Trustee meetings.</w:t>
      </w:r>
    </w:p>
    <w:p w14:paraId="2E1E56EE" w14:textId="41167DAB" w:rsidR="008E046C" w:rsidRPr="00904562" w:rsidRDefault="00006815" w:rsidP="0061475C">
      <w:pPr>
        <w:ind w:left="0" w:firstLine="0"/>
        <w:jc w:val="both"/>
        <w:rPr>
          <w:sz w:val="20"/>
          <w:szCs w:val="20"/>
        </w:rPr>
      </w:pPr>
      <w:r>
        <w:rPr>
          <w:sz w:val="20"/>
          <w:szCs w:val="20"/>
        </w:rPr>
        <w:t>During the year covered by this statement, the</w:t>
      </w:r>
      <w:r w:rsidR="008E046C" w:rsidRPr="00904562">
        <w:rPr>
          <w:sz w:val="20"/>
          <w:szCs w:val="20"/>
        </w:rPr>
        <w:t xml:space="preserve"> Trustee</w:t>
      </w:r>
      <w:r w:rsidR="00A14F21" w:rsidRPr="00904562">
        <w:rPr>
          <w:sz w:val="20"/>
          <w:szCs w:val="20"/>
        </w:rPr>
        <w:t>’s</w:t>
      </w:r>
      <w:r w:rsidR="008E046C" w:rsidRPr="00904562">
        <w:rPr>
          <w:sz w:val="20"/>
          <w:szCs w:val="20"/>
        </w:rPr>
        <w:t xml:space="preserve"> approach to meeting </w:t>
      </w:r>
      <w:r w:rsidR="00A14F21" w:rsidRPr="00904562">
        <w:rPr>
          <w:sz w:val="20"/>
          <w:szCs w:val="20"/>
        </w:rPr>
        <w:t xml:space="preserve">its </w:t>
      </w:r>
      <w:r w:rsidR="008D54AB" w:rsidRPr="00904562">
        <w:rPr>
          <w:sz w:val="20"/>
          <w:szCs w:val="20"/>
        </w:rPr>
        <w:t xml:space="preserve">ongoing </w:t>
      </w:r>
      <w:r w:rsidR="008E046C" w:rsidRPr="00904562">
        <w:rPr>
          <w:sz w:val="20"/>
          <w:szCs w:val="20"/>
        </w:rPr>
        <w:t xml:space="preserve">knowledge and understanding requirements </w:t>
      </w:r>
      <w:r>
        <w:rPr>
          <w:sz w:val="20"/>
          <w:szCs w:val="20"/>
        </w:rPr>
        <w:t>remained</w:t>
      </w:r>
      <w:r w:rsidR="001444D8" w:rsidRPr="00904562">
        <w:rPr>
          <w:sz w:val="20"/>
          <w:szCs w:val="20"/>
        </w:rPr>
        <w:t xml:space="preserve"> unchanged and </w:t>
      </w:r>
      <w:r>
        <w:rPr>
          <w:sz w:val="20"/>
          <w:szCs w:val="20"/>
        </w:rPr>
        <w:t>included</w:t>
      </w:r>
      <w:r w:rsidR="008E046C" w:rsidRPr="00904562">
        <w:rPr>
          <w:sz w:val="20"/>
          <w:szCs w:val="20"/>
        </w:rPr>
        <w:t>:</w:t>
      </w:r>
    </w:p>
    <w:p w14:paraId="7F6CE625" w14:textId="123276C0" w:rsidR="008D54AB" w:rsidRPr="00F643AC" w:rsidRDefault="004D32B9" w:rsidP="0061475C">
      <w:pPr>
        <w:pStyle w:val="ListParagraph"/>
        <w:numPr>
          <w:ilvl w:val="0"/>
          <w:numId w:val="17"/>
        </w:numPr>
        <w:ind w:left="357" w:hanging="357"/>
        <w:jc w:val="both"/>
        <w:rPr>
          <w:color w:val="000000" w:themeColor="text1"/>
          <w:sz w:val="20"/>
          <w:szCs w:val="20"/>
        </w:rPr>
      </w:pPr>
      <w:r w:rsidRPr="00F643AC">
        <w:rPr>
          <w:color w:val="000000" w:themeColor="text1"/>
          <w:sz w:val="20"/>
          <w:szCs w:val="20"/>
        </w:rPr>
        <w:t xml:space="preserve">Having an induction process in place for new Trustee Directors that requires them </w:t>
      </w:r>
      <w:r w:rsidR="008D54AB" w:rsidRPr="00F643AC">
        <w:rPr>
          <w:color w:val="000000" w:themeColor="text1"/>
          <w:sz w:val="20"/>
          <w:szCs w:val="20"/>
        </w:rPr>
        <w:t>to complete the Pension</w:t>
      </w:r>
      <w:r w:rsidR="00331232" w:rsidRPr="00F643AC">
        <w:rPr>
          <w:color w:val="000000" w:themeColor="text1"/>
          <w:sz w:val="20"/>
          <w:szCs w:val="20"/>
        </w:rPr>
        <w:t>s</w:t>
      </w:r>
      <w:r w:rsidR="005C71AA" w:rsidRPr="00F643AC">
        <w:rPr>
          <w:color w:val="000000" w:themeColor="text1"/>
          <w:sz w:val="20"/>
          <w:szCs w:val="20"/>
        </w:rPr>
        <w:t xml:space="preserve"> Regulator’s Trustee Toolkit</w:t>
      </w:r>
      <w:r w:rsidR="0074420F" w:rsidRPr="00F643AC">
        <w:rPr>
          <w:color w:val="000000" w:themeColor="text1"/>
          <w:sz w:val="20"/>
          <w:szCs w:val="20"/>
        </w:rPr>
        <w:t xml:space="preserve"> within six months of their appointment</w:t>
      </w:r>
      <w:r w:rsidR="00B64733" w:rsidRPr="00F643AC">
        <w:rPr>
          <w:color w:val="000000" w:themeColor="text1"/>
          <w:sz w:val="20"/>
          <w:szCs w:val="20"/>
        </w:rPr>
        <w:t xml:space="preserve"> (d</w:t>
      </w:r>
      <w:r w:rsidR="00BE7095" w:rsidRPr="00F643AC">
        <w:rPr>
          <w:color w:val="000000" w:themeColor="text1"/>
          <w:sz w:val="20"/>
          <w:szCs w:val="20"/>
        </w:rPr>
        <w:t xml:space="preserve">uring the year to </w:t>
      </w:r>
      <w:r w:rsidR="0082453D" w:rsidRPr="00F643AC">
        <w:rPr>
          <w:color w:val="000000" w:themeColor="text1"/>
          <w:sz w:val="20"/>
          <w:szCs w:val="20"/>
        </w:rPr>
        <w:t xml:space="preserve">               </w:t>
      </w:r>
      <w:r w:rsidR="00BE7095" w:rsidRPr="00F643AC">
        <w:rPr>
          <w:color w:val="000000" w:themeColor="text1"/>
          <w:sz w:val="20"/>
          <w:szCs w:val="20"/>
        </w:rPr>
        <w:t>31 March 202</w:t>
      </w:r>
      <w:r w:rsidR="001427F1" w:rsidRPr="00F643AC">
        <w:rPr>
          <w:color w:val="000000" w:themeColor="text1"/>
          <w:sz w:val="20"/>
          <w:szCs w:val="20"/>
        </w:rPr>
        <w:t>5</w:t>
      </w:r>
      <w:r w:rsidR="00BE7095" w:rsidRPr="00F643AC">
        <w:rPr>
          <w:color w:val="000000" w:themeColor="text1"/>
          <w:sz w:val="20"/>
          <w:szCs w:val="20"/>
        </w:rPr>
        <w:t>,</w:t>
      </w:r>
      <w:r w:rsidR="000613B4" w:rsidRPr="00F643AC">
        <w:rPr>
          <w:color w:val="000000" w:themeColor="text1"/>
          <w:sz w:val="20"/>
          <w:szCs w:val="20"/>
        </w:rPr>
        <w:t xml:space="preserve"> no</w:t>
      </w:r>
      <w:r w:rsidR="005F475A" w:rsidRPr="00F643AC">
        <w:rPr>
          <w:color w:val="000000" w:themeColor="text1"/>
          <w:sz w:val="20"/>
          <w:szCs w:val="20"/>
        </w:rPr>
        <w:t xml:space="preserve"> new Trustee Director</w:t>
      </w:r>
      <w:r w:rsidR="000613B4" w:rsidRPr="00F643AC">
        <w:rPr>
          <w:color w:val="000000" w:themeColor="text1"/>
          <w:sz w:val="20"/>
          <w:szCs w:val="20"/>
        </w:rPr>
        <w:t>s</w:t>
      </w:r>
      <w:r w:rsidR="005F475A" w:rsidRPr="00F643AC">
        <w:rPr>
          <w:color w:val="000000" w:themeColor="text1"/>
          <w:sz w:val="20"/>
          <w:szCs w:val="20"/>
        </w:rPr>
        <w:t xml:space="preserve"> w</w:t>
      </w:r>
      <w:r w:rsidR="000613B4" w:rsidRPr="00F643AC">
        <w:rPr>
          <w:color w:val="000000" w:themeColor="text1"/>
          <w:sz w:val="20"/>
          <w:szCs w:val="20"/>
        </w:rPr>
        <w:t>ere</w:t>
      </w:r>
      <w:r w:rsidR="005F475A" w:rsidRPr="00F643AC">
        <w:rPr>
          <w:color w:val="000000" w:themeColor="text1"/>
          <w:sz w:val="20"/>
          <w:szCs w:val="20"/>
        </w:rPr>
        <w:t xml:space="preserve"> appointed</w:t>
      </w:r>
      <w:r w:rsidR="00B64733" w:rsidRPr="00F643AC">
        <w:rPr>
          <w:color w:val="000000" w:themeColor="text1"/>
          <w:sz w:val="20"/>
          <w:szCs w:val="20"/>
        </w:rPr>
        <w:t>)</w:t>
      </w:r>
      <w:r w:rsidR="00D377C6" w:rsidRPr="00F643AC">
        <w:rPr>
          <w:color w:val="000000" w:themeColor="text1"/>
          <w:sz w:val="20"/>
          <w:szCs w:val="20"/>
        </w:rPr>
        <w:t>;</w:t>
      </w:r>
    </w:p>
    <w:p w14:paraId="6375FD88" w14:textId="15A9ACD0" w:rsidR="008D54AB" w:rsidRPr="00904562" w:rsidRDefault="00A14F21" w:rsidP="0061475C">
      <w:pPr>
        <w:pStyle w:val="ListParagraph"/>
        <w:numPr>
          <w:ilvl w:val="0"/>
          <w:numId w:val="17"/>
        </w:numPr>
        <w:ind w:left="357" w:hanging="357"/>
        <w:jc w:val="both"/>
        <w:rPr>
          <w:sz w:val="20"/>
          <w:szCs w:val="20"/>
        </w:rPr>
      </w:pPr>
      <w:r w:rsidRPr="00904562">
        <w:rPr>
          <w:sz w:val="20"/>
          <w:szCs w:val="20"/>
        </w:rPr>
        <w:t>R</w:t>
      </w:r>
      <w:r w:rsidR="005C71AA" w:rsidRPr="00904562">
        <w:rPr>
          <w:sz w:val="20"/>
          <w:szCs w:val="20"/>
        </w:rPr>
        <w:t xml:space="preserve">equiring </w:t>
      </w:r>
      <w:r w:rsidR="003912E6" w:rsidRPr="00904562">
        <w:rPr>
          <w:sz w:val="20"/>
          <w:szCs w:val="20"/>
        </w:rPr>
        <w:t>Trustee Directors</w:t>
      </w:r>
      <w:r w:rsidRPr="00904562">
        <w:rPr>
          <w:sz w:val="20"/>
          <w:szCs w:val="20"/>
        </w:rPr>
        <w:t xml:space="preserve"> </w:t>
      </w:r>
      <w:r w:rsidR="008D54AB" w:rsidRPr="00904562">
        <w:rPr>
          <w:sz w:val="20"/>
          <w:szCs w:val="20"/>
        </w:rPr>
        <w:t xml:space="preserve">to complete </w:t>
      </w:r>
      <w:r w:rsidR="005C71AA" w:rsidRPr="00904562">
        <w:rPr>
          <w:sz w:val="20"/>
          <w:szCs w:val="20"/>
        </w:rPr>
        <w:t xml:space="preserve">relevant </w:t>
      </w:r>
      <w:r w:rsidR="008D54AB" w:rsidRPr="00904562">
        <w:rPr>
          <w:sz w:val="20"/>
          <w:szCs w:val="20"/>
        </w:rPr>
        <w:t>updates and new modules added to the Pension</w:t>
      </w:r>
      <w:r w:rsidR="00331232" w:rsidRPr="00904562">
        <w:rPr>
          <w:sz w:val="20"/>
          <w:szCs w:val="20"/>
        </w:rPr>
        <w:t>s</w:t>
      </w:r>
      <w:r w:rsidR="008D54AB" w:rsidRPr="00904562">
        <w:rPr>
          <w:sz w:val="20"/>
          <w:szCs w:val="20"/>
        </w:rPr>
        <w:t xml:space="preserve"> Regulator’s Trustee Toolkit</w:t>
      </w:r>
      <w:r w:rsidR="00D377C6">
        <w:rPr>
          <w:sz w:val="20"/>
          <w:szCs w:val="20"/>
        </w:rPr>
        <w:t>;</w:t>
      </w:r>
    </w:p>
    <w:p w14:paraId="0A9DF6C1" w14:textId="6ED8A777" w:rsidR="00A9557B" w:rsidRPr="00E80056" w:rsidRDefault="0063031E" w:rsidP="00A9557B">
      <w:pPr>
        <w:pStyle w:val="ListParagraph"/>
        <w:numPr>
          <w:ilvl w:val="0"/>
          <w:numId w:val="17"/>
        </w:numPr>
        <w:ind w:left="357" w:hanging="357"/>
        <w:jc w:val="both"/>
        <w:rPr>
          <w:color w:val="000000" w:themeColor="text1"/>
          <w:sz w:val="20"/>
          <w:szCs w:val="20"/>
        </w:rPr>
      </w:pPr>
      <w:r>
        <w:rPr>
          <w:sz w:val="20"/>
          <w:szCs w:val="20"/>
        </w:rPr>
        <w:t>Having a dedicated training day to deal with topics where the Trustee feels it would benefit from further training</w:t>
      </w:r>
      <w:r w:rsidR="008024C2">
        <w:rPr>
          <w:sz w:val="20"/>
          <w:szCs w:val="20"/>
        </w:rPr>
        <w:t xml:space="preserve"> (</w:t>
      </w:r>
      <w:r w:rsidR="008024C2" w:rsidRPr="00420DFC">
        <w:rPr>
          <w:sz w:val="20"/>
          <w:szCs w:val="20"/>
        </w:rPr>
        <w:t>t</w:t>
      </w:r>
      <w:r w:rsidRPr="00420DFC">
        <w:rPr>
          <w:sz w:val="20"/>
          <w:szCs w:val="20"/>
        </w:rPr>
        <w:t xml:space="preserve">he last training day took place in </w:t>
      </w:r>
      <w:r w:rsidRPr="00E80056">
        <w:rPr>
          <w:color w:val="000000" w:themeColor="text1"/>
          <w:sz w:val="20"/>
          <w:szCs w:val="20"/>
        </w:rPr>
        <w:t>November 20</w:t>
      </w:r>
      <w:r w:rsidR="00456218" w:rsidRPr="00E80056">
        <w:rPr>
          <w:color w:val="000000" w:themeColor="text1"/>
          <w:sz w:val="20"/>
          <w:szCs w:val="20"/>
        </w:rPr>
        <w:t>2</w:t>
      </w:r>
      <w:r w:rsidR="00E80056">
        <w:rPr>
          <w:color w:val="000000" w:themeColor="text1"/>
          <w:sz w:val="20"/>
          <w:szCs w:val="20"/>
        </w:rPr>
        <w:t>5</w:t>
      </w:r>
      <w:r w:rsidR="00C61765" w:rsidRPr="00E80056">
        <w:rPr>
          <w:color w:val="000000" w:themeColor="text1"/>
          <w:sz w:val="20"/>
          <w:szCs w:val="20"/>
        </w:rPr>
        <w:t xml:space="preserve">, with </w:t>
      </w:r>
      <w:r w:rsidR="006D5758" w:rsidRPr="00E80056">
        <w:rPr>
          <w:color w:val="000000" w:themeColor="text1"/>
          <w:sz w:val="20"/>
          <w:szCs w:val="20"/>
        </w:rPr>
        <w:t>the next due to take place in November 202</w:t>
      </w:r>
      <w:r w:rsidR="00E80056" w:rsidRPr="00E80056">
        <w:rPr>
          <w:color w:val="000000" w:themeColor="text1"/>
          <w:sz w:val="20"/>
          <w:szCs w:val="20"/>
        </w:rPr>
        <w:t>6</w:t>
      </w:r>
      <w:r w:rsidR="008024C2" w:rsidRPr="00E80056">
        <w:rPr>
          <w:color w:val="000000" w:themeColor="text1"/>
          <w:sz w:val="20"/>
          <w:szCs w:val="20"/>
        </w:rPr>
        <w:t>)</w:t>
      </w:r>
      <w:r w:rsidR="00A9557B" w:rsidRPr="00E80056">
        <w:rPr>
          <w:color w:val="000000" w:themeColor="text1"/>
          <w:sz w:val="20"/>
          <w:szCs w:val="20"/>
        </w:rPr>
        <w:t>. The relevant DC topics covered were as follows:</w:t>
      </w:r>
    </w:p>
    <w:tbl>
      <w:tblPr>
        <w:tblStyle w:val="GridTable1Light"/>
        <w:tblW w:w="0" w:type="auto"/>
        <w:tblInd w:w="421" w:type="dxa"/>
        <w:tblLook w:val="04A0" w:firstRow="1" w:lastRow="0" w:firstColumn="1" w:lastColumn="0" w:noHBand="0" w:noVBand="1"/>
      </w:tblPr>
      <w:tblGrid>
        <w:gridCol w:w="6804"/>
      </w:tblGrid>
      <w:tr w:rsidR="00A9557B" w:rsidRPr="00FC461B" w14:paraId="2A40DFCB" w14:textId="77777777" w:rsidTr="00C841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BFBFBF" w:themeFill="background1" w:themeFillShade="BF"/>
          </w:tcPr>
          <w:p w14:paraId="76BC88DB" w14:textId="7A9D6625" w:rsidR="00A9557B" w:rsidRPr="001427F1" w:rsidRDefault="00A9557B" w:rsidP="005D4764">
            <w:pPr>
              <w:ind w:left="0" w:firstLine="0"/>
              <w:rPr>
                <w:color w:val="FF0000"/>
                <w:sz w:val="20"/>
                <w:szCs w:val="20"/>
              </w:rPr>
            </w:pPr>
            <w:r w:rsidRPr="00E80056">
              <w:rPr>
                <w:color w:val="000000" w:themeColor="text1"/>
                <w:sz w:val="20"/>
                <w:szCs w:val="20"/>
              </w:rPr>
              <w:t>Topic</w:t>
            </w:r>
          </w:p>
        </w:tc>
      </w:tr>
      <w:tr w:rsidR="00E80056" w:rsidRPr="00EB504A" w14:paraId="124A9BE7" w14:textId="77777777" w:rsidTr="00C84129">
        <w:tc>
          <w:tcPr>
            <w:cnfStyle w:val="001000000000" w:firstRow="0" w:lastRow="0" w:firstColumn="1" w:lastColumn="0" w:oddVBand="0" w:evenVBand="0" w:oddHBand="0" w:evenHBand="0" w:firstRowFirstColumn="0" w:firstRowLastColumn="0" w:lastRowFirstColumn="0" w:lastRowLastColumn="0"/>
            <w:tcW w:w="6804" w:type="dxa"/>
          </w:tcPr>
          <w:p w14:paraId="6E857E49" w14:textId="750008EE" w:rsidR="00E80056" w:rsidRPr="00E80056" w:rsidRDefault="00E80056" w:rsidP="005D4764">
            <w:pPr>
              <w:ind w:left="0" w:firstLine="0"/>
              <w:rPr>
                <w:b w:val="0"/>
                <w:bCs w:val="0"/>
                <w:color w:val="000000" w:themeColor="text1"/>
                <w:sz w:val="20"/>
                <w:szCs w:val="20"/>
              </w:rPr>
            </w:pPr>
            <w:r w:rsidRPr="00E80056">
              <w:rPr>
                <w:b w:val="0"/>
                <w:bCs w:val="0"/>
                <w:color w:val="000000" w:themeColor="text1"/>
                <w:sz w:val="20"/>
                <w:szCs w:val="20"/>
              </w:rPr>
              <w:t>Buy in and buy out - introductory session</w:t>
            </w:r>
          </w:p>
        </w:tc>
      </w:tr>
      <w:tr w:rsidR="00E80056" w:rsidRPr="00EB504A" w14:paraId="32B8A68B" w14:textId="77777777" w:rsidTr="00C84129">
        <w:tc>
          <w:tcPr>
            <w:cnfStyle w:val="001000000000" w:firstRow="0" w:lastRow="0" w:firstColumn="1" w:lastColumn="0" w:oddVBand="0" w:evenVBand="0" w:oddHBand="0" w:evenHBand="0" w:firstRowFirstColumn="0" w:firstRowLastColumn="0" w:lastRowFirstColumn="0" w:lastRowLastColumn="0"/>
            <w:tcW w:w="6804" w:type="dxa"/>
          </w:tcPr>
          <w:p w14:paraId="32098824" w14:textId="308B6DD6" w:rsidR="00E80056" w:rsidRPr="00E80056" w:rsidRDefault="00E80056" w:rsidP="005D4764">
            <w:pPr>
              <w:ind w:left="0" w:firstLine="0"/>
              <w:rPr>
                <w:b w:val="0"/>
                <w:bCs w:val="0"/>
                <w:color w:val="000000" w:themeColor="text1"/>
                <w:sz w:val="20"/>
                <w:szCs w:val="20"/>
              </w:rPr>
            </w:pPr>
            <w:r w:rsidRPr="00E80056">
              <w:rPr>
                <w:b w:val="0"/>
                <w:bCs w:val="0"/>
                <w:color w:val="000000" w:themeColor="text1"/>
                <w:sz w:val="20"/>
                <w:szCs w:val="20"/>
              </w:rPr>
              <w:t>Buy in and buy out – legal aspects</w:t>
            </w:r>
          </w:p>
        </w:tc>
      </w:tr>
      <w:tr w:rsidR="00E80056" w:rsidRPr="00EB504A" w14:paraId="4C23DB62" w14:textId="77777777" w:rsidTr="00C84129">
        <w:tc>
          <w:tcPr>
            <w:cnfStyle w:val="001000000000" w:firstRow="0" w:lastRow="0" w:firstColumn="1" w:lastColumn="0" w:oddVBand="0" w:evenVBand="0" w:oddHBand="0" w:evenHBand="0" w:firstRowFirstColumn="0" w:firstRowLastColumn="0" w:lastRowFirstColumn="0" w:lastRowLastColumn="0"/>
            <w:tcW w:w="6804" w:type="dxa"/>
          </w:tcPr>
          <w:p w14:paraId="408868A8" w14:textId="0EE43913" w:rsidR="00E80056" w:rsidRPr="00E80056" w:rsidRDefault="00E80056" w:rsidP="005D4764">
            <w:pPr>
              <w:ind w:left="0" w:firstLine="0"/>
              <w:rPr>
                <w:b w:val="0"/>
                <w:bCs w:val="0"/>
                <w:color w:val="000000" w:themeColor="text1"/>
                <w:sz w:val="20"/>
                <w:szCs w:val="20"/>
              </w:rPr>
            </w:pPr>
            <w:r>
              <w:rPr>
                <w:b w:val="0"/>
                <w:bCs w:val="0"/>
                <w:color w:val="000000" w:themeColor="text1"/>
                <w:sz w:val="20"/>
                <w:szCs w:val="20"/>
              </w:rPr>
              <w:t>Buy in – data readiness</w:t>
            </w:r>
          </w:p>
        </w:tc>
      </w:tr>
      <w:tr w:rsidR="00E80056" w:rsidRPr="00EB504A" w14:paraId="1902D323" w14:textId="77777777" w:rsidTr="00C84129">
        <w:tc>
          <w:tcPr>
            <w:cnfStyle w:val="001000000000" w:firstRow="0" w:lastRow="0" w:firstColumn="1" w:lastColumn="0" w:oddVBand="0" w:evenVBand="0" w:oddHBand="0" w:evenHBand="0" w:firstRowFirstColumn="0" w:firstRowLastColumn="0" w:lastRowFirstColumn="0" w:lastRowLastColumn="0"/>
            <w:tcW w:w="6804" w:type="dxa"/>
          </w:tcPr>
          <w:p w14:paraId="02C9F684" w14:textId="53C9110D" w:rsidR="00E80056" w:rsidRPr="00E80056" w:rsidRDefault="00E80056" w:rsidP="005D4764">
            <w:pPr>
              <w:ind w:left="0" w:firstLine="0"/>
              <w:rPr>
                <w:b w:val="0"/>
                <w:bCs w:val="0"/>
                <w:color w:val="000000" w:themeColor="text1"/>
                <w:sz w:val="20"/>
                <w:szCs w:val="20"/>
              </w:rPr>
            </w:pPr>
            <w:r w:rsidRPr="00E80056">
              <w:rPr>
                <w:b w:val="0"/>
                <w:bCs w:val="0"/>
                <w:color w:val="000000" w:themeColor="text1"/>
                <w:sz w:val="20"/>
                <w:szCs w:val="20"/>
              </w:rPr>
              <w:t>Pensions Dashboards</w:t>
            </w:r>
          </w:p>
        </w:tc>
      </w:tr>
      <w:tr w:rsidR="00E80056" w:rsidRPr="00EB504A" w14:paraId="3FDE6637" w14:textId="77777777" w:rsidTr="00C84129">
        <w:tc>
          <w:tcPr>
            <w:cnfStyle w:val="001000000000" w:firstRow="0" w:lastRow="0" w:firstColumn="1" w:lastColumn="0" w:oddVBand="0" w:evenVBand="0" w:oddHBand="0" w:evenHBand="0" w:firstRowFirstColumn="0" w:firstRowLastColumn="0" w:lastRowFirstColumn="0" w:lastRowLastColumn="0"/>
            <w:tcW w:w="6804" w:type="dxa"/>
          </w:tcPr>
          <w:p w14:paraId="0ADF9EDE" w14:textId="6ED34E61" w:rsidR="00E80056" w:rsidRPr="00E80056" w:rsidRDefault="00E80056" w:rsidP="005D4764">
            <w:pPr>
              <w:ind w:left="0" w:firstLine="0"/>
              <w:rPr>
                <w:b w:val="0"/>
                <w:bCs w:val="0"/>
                <w:color w:val="000000" w:themeColor="text1"/>
                <w:sz w:val="20"/>
                <w:szCs w:val="20"/>
              </w:rPr>
            </w:pPr>
            <w:r w:rsidRPr="00E80056">
              <w:rPr>
                <w:b w:val="0"/>
                <w:bCs w:val="0"/>
                <w:color w:val="000000" w:themeColor="text1"/>
                <w:sz w:val="20"/>
                <w:szCs w:val="20"/>
              </w:rPr>
              <w:t>Investment – Strategic Objectives</w:t>
            </w:r>
          </w:p>
        </w:tc>
      </w:tr>
    </w:tbl>
    <w:p w14:paraId="53F6D136" w14:textId="4D620DB1" w:rsidR="00D377C6" w:rsidRDefault="00006815" w:rsidP="0061475C">
      <w:pPr>
        <w:pStyle w:val="ListParagraph"/>
        <w:numPr>
          <w:ilvl w:val="0"/>
          <w:numId w:val="17"/>
        </w:numPr>
        <w:ind w:left="357" w:hanging="357"/>
        <w:jc w:val="both"/>
        <w:rPr>
          <w:sz w:val="20"/>
          <w:szCs w:val="20"/>
        </w:rPr>
      </w:pPr>
      <w:r>
        <w:rPr>
          <w:sz w:val="20"/>
          <w:szCs w:val="20"/>
        </w:rPr>
        <w:t>Agreeing a</w:t>
      </w:r>
      <w:r w:rsidR="00D21050" w:rsidRPr="00904562">
        <w:rPr>
          <w:sz w:val="20"/>
          <w:szCs w:val="20"/>
        </w:rPr>
        <w:t xml:space="preserve"> </w:t>
      </w:r>
      <w:r w:rsidR="008D54AB" w:rsidRPr="00904562">
        <w:rPr>
          <w:sz w:val="20"/>
          <w:szCs w:val="20"/>
        </w:rPr>
        <w:t>programme of bespoke trustee training</w:t>
      </w:r>
      <w:r w:rsidR="0056471F" w:rsidRPr="00904562">
        <w:rPr>
          <w:sz w:val="20"/>
          <w:szCs w:val="20"/>
        </w:rPr>
        <w:t xml:space="preserve"> for the year</w:t>
      </w:r>
      <w:r w:rsidR="00A14F21" w:rsidRPr="00904562">
        <w:rPr>
          <w:sz w:val="20"/>
          <w:szCs w:val="20"/>
        </w:rPr>
        <w:t xml:space="preserve">, </w:t>
      </w:r>
      <w:r w:rsidR="00D21050" w:rsidRPr="00904562">
        <w:rPr>
          <w:sz w:val="20"/>
          <w:szCs w:val="20"/>
        </w:rPr>
        <w:t>which is delivered</w:t>
      </w:r>
      <w:r w:rsidR="00A14F21" w:rsidRPr="00904562">
        <w:rPr>
          <w:sz w:val="20"/>
          <w:szCs w:val="20"/>
        </w:rPr>
        <w:t xml:space="preserve"> by the Trustee’s</w:t>
      </w:r>
      <w:r w:rsidR="00A86DA3" w:rsidRPr="00904562">
        <w:rPr>
          <w:sz w:val="20"/>
          <w:szCs w:val="20"/>
        </w:rPr>
        <w:t xml:space="preserve"> advisers</w:t>
      </w:r>
      <w:r w:rsidR="00D21050" w:rsidRPr="00904562">
        <w:rPr>
          <w:sz w:val="20"/>
          <w:szCs w:val="20"/>
        </w:rPr>
        <w:t xml:space="preserve"> at Trustee meetings</w:t>
      </w:r>
      <w:r w:rsidR="008777D8" w:rsidRPr="00904562">
        <w:rPr>
          <w:sz w:val="20"/>
          <w:szCs w:val="20"/>
        </w:rPr>
        <w:t xml:space="preserve"> (see below in relation to the annual training received </w:t>
      </w:r>
      <w:r w:rsidR="00A433C3">
        <w:rPr>
          <w:sz w:val="20"/>
          <w:szCs w:val="20"/>
        </w:rPr>
        <w:t>relevant</w:t>
      </w:r>
      <w:r w:rsidR="008777D8" w:rsidRPr="00904562">
        <w:rPr>
          <w:sz w:val="20"/>
          <w:szCs w:val="20"/>
        </w:rPr>
        <w:t xml:space="preserve"> to the DC accounts)</w:t>
      </w:r>
      <w:r w:rsidR="00D377C6">
        <w:rPr>
          <w:sz w:val="20"/>
          <w:szCs w:val="20"/>
        </w:rPr>
        <w:t>;</w:t>
      </w:r>
    </w:p>
    <w:p w14:paraId="1DBA6DB3" w14:textId="14D9D35E" w:rsidR="0074420F" w:rsidRPr="00904562" w:rsidRDefault="0081054A" w:rsidP="0061475C">
      <w:pPr>
        <w:pStyle w:val="ListParagraph"/>
        <w:numPr>
          <w:ilvl w:val="0"/>
          <w:numId w:val="17"/>
        </w:numPr>
        <w:ind w:left="357" w:hanging="357"/>
        <w:jc w:val="both"/>
        <w:rPr>
          <w:sz w:val="20"/>
          <w:szCs w:val="20"/>
        </w:rPr>
      </w:pPr>
      <w:r>
        <w:rPr>
          <w:sz w:val="20"/>
          <w:szCs w:val="20"/>
        </w:rPr>
        <w:t>As required, t</w:t>
      </w:r>
      <w:r w:rsidR="0074420F" w:rsidRPr="00904562">
        <w:rPr>
          <w:sz w:val="20"/>
          <w:szCs w:val="20"/>
        </w:rPr>
        <w:t xml:space="preserve">raining </w:t>
      </w:r>
      <w:r>
        <w:rPr>
          <w:sz w:val="20"/>
          <w:szCs w:val="20"/>
        </w:rPr>
        <w:t>on</w:t>
      </w:r>
      <w:r w:rsidR="0074420F" w:rsidRPr="00904562">
        <w:rPr>
          <w:sz w:val="20"/>
          <w:szCs w:val="20"/>
        </w:rPr>
        <w:t xml:space="preserve"> the</w:t>
      </w:r>
      <w:r w:rsidR="00392DFE" w:rsidRPr="00904562">
        <w:rPr>
          <w:sz w:val="20"/>
          <w:szCs w:val="20"/>
        </w:rPr>
        <w:t xml:space="preserve"> </w:t>
      </w:r>
      <w:r w:rsidR="0074420F" w:rsidRPr="00904562">
        <w:rPr>
          <w:sz w:val="20"/>
          <w:szCs w:val="20"/>
        </w:rPr>
        <w:t>provisions of the Scheme’s Trust Deed and Rules, the application of the Trustee’s agreed policies and the review and updating of key governing documents, such as the Statement of Investment Principles</w:t>
      </w:r>
      <w:r w:rsidR="001B207F">
        <w:rPr>
          <w:sz w:val="20"/>
          <w:szCs w:val="20"/>
        </w:rPr>
        <w:t>;</w:t>
      </w:r>
    </w:p>
    <w:p w14:paraId="31F32F1F" w14:textId="089B5B04" w:rsidR="009633B3" w:rsidRPr="00904562" w:rsidRDefault="0074420F" w:rsidP="0061475C">
      <w:pPr>
        <w:pStyle w:val="ListParagraph"/>
        <w:numPr>
          <w:ilvl w:val="0"/>
          <w:numId w:val="17"/>
        </w:numPr>
        <w:ind w:left="357" w:hanging="357"/>
        <w:jc w:val="both"/>
        <w:rPr>
          <w:sz w:val="20"/>
          <w:szCs w:val="20"/>
        </w:rPr>
      </w:pPr>
      <w:r w:rsidRPr="00904562">
        <w:rPr>
          <w:sz w:val="20"/>
          <w:szCs w:val="20"/>
        </w:rPr>
        <w:t>T</w:t>
      </w:r>
      <w:r w:rsidR="00D21050" w:rsidRPr="00904562">
        <w:rPr>
          <w:sz w:val="20"/>
          <w:szCs w:val="20"/>
        </w:rPr>
        <w:t>he occasional attendance</w:t>
      </w:r>
      <w:r w:rsidR="003912E6" w:rsidRPr="00904562">
        <w:rPr>
          <w:sz w:val="20"/>
          <w:szCs w:val="20"/>
        </w:rPr>
        <w:t xml:space="preserve"> by Trustee Directors</w:t>
      </w:r>
      <w:r w:rsidR="00D21050" w:rsidRPr="00904562">
        <w:rPr>
          <w:sz w:val="20"/>
          <w:szCs w:val="20"/>
        </w:rPr>
        <w:t xml:space="preserve"> at extern</w:t>
      </w:r>
      <w:r w:rsidR="00A14F21" w:rsidRPr="00904562">
        <w:rPr>
          <w:sz w:val="20"/>
          <w:szCs w:val="20"/>
        </w:rPr>
        <w:t>al seminars held by the Trustee’s</w:t>
      </w:r>
      <w:r w:rsidR="00D21050" w:rsidRPr="00904562">
        <w:rPr>
          <w:sz w:val="20"/>
          <w:szCs w:val="20"/>
        </w:rPr>
        <w:t xml:space="preserve"> advisers and other third</w:t>
      </w:r>
      <w:r w:rsidR="00295804">
        <w:rPr>
          <w:sz w:val="20"/>
          <w:szCs w:val="20"/>
        </w:rPr>
        <w:t>-</w:t>
      </w:r>
      <w:r w:rsidR="00D21050" w:rsidRPr="00904562">
        <w:rPr>
          <w:sz w:val="20"/>
          <w:szCs w:val="20"/>
        </w:rPr>
        <w:t>party firms</w:t>
      </w:r>
      <w:r w:rsidRPr="00904562">
        <w:rPr>
          <w:sz w:val="20"/>
          <w:szCs w:val="20"/>
        </w:rPr>
        <w:t>.</w:t>
      </w:r>
    </w:p>
    <w:p w14:paraId="2350FBC8" w14:textId="2E0C924D" w:rsidR="002C7372" w:rsidRPr="00904562" w:rsidRDefault="002C7372" w:rsidP="0061475C">
      <w:pPr>
        <w:ind w:left="0" w:firstLine="0"/>
        <w:jc w:val="both"/>
        <w:rPr>
          <w:sz w:val="20"/>
          <w:szCs w:val="20"/>
        </w:rPr>
      </w:pPr>
      <w:r w:rsidRPr="00904562">
        <w:rPr>
          <w:sz w:val="20"/>
          <w:szCs w:val="20"/>
        </w:rPr>
        <w:t>All training undertaken by the Trustee Directors and attendance at appropriate seminar</w:t>
      </w:r>
      <w:r w:rsidR="008777D8" w:rsidRPr="00904562">
        <w:rPr>
          <w:sz w:val="20"/>
          <w:szCs w:val="20"/>
        </w:rPr>
        <w:t>s is recorded in a training log, which is monitored and reviewed at each Trustee meeting.</w:t>
      </w:r>
    </w:p>
    <w:p w14:paraId="05F6FD02" w14:textId="4D055FC5" w:rsidR="004F2D64" w:rsidRPr="00904562" w:rsidRDefault="004F2D64" w:rsidP="0061475C">
      <w:pPr>
        <w:ind w:left="0" w:firstLine="0"/>
        <w:jc w:val="both"/>
        <w:rPr>
          <w:sz w:val="20"/>
          <w:szCs w:val="20"/>
        </w:rPr>
      </w:pPr>
      <w:r w:rsidRPr="00904562">
        <w:rPr>
          <w:sz w:val="20"/>
          <w:szCs w:val="20"/>
        </w:rPr>
        <w:t>In relation to the DC accounts, each year, the Trustee receives the following</w:t>
      </w:r>
      <w:r w:rsidR="00392DFE" w:rsidRPr="00904562">
        <w:rPr>
          <w:sz w:val="20"/>
          <w:szCs w:val="20"/>
        </w:rPr>
        <w:t xml:space="preserve"> from its advisers</w:t>
      </w:r>
      <w:r w:rsidRPr="00904562">
        <w:rPr>
          <w:sz w:val="20"/>
          <w:szCs w:val="20"/>
        </w:rPr>
        <w:t>:</w:t>
      </w:r>
    </w:p>
    <w:p w14:paraId="77604A94" w14:textId="1224F357" w:rsidR="004F2D64" w:rsidRPr="00904562" w:rsidRDefault="004F2D64" w:rsidP="0061475C">
      <w:pPr>
        <w:pStyle w:val="ListParagraph"/>
        <w:numPr>
          <w:ilvl w:val="0"/>
          <w:numId w:val="22"/>
        </w:numPr>
        <w:jc w:val="both"/>
        <w:rPr>
          <w:sz w:val="20"/>
          <w:szCs w:val="20"/>
        </w:rPr>
      </w:pPr>
      <w:r w:rsidRPr="00904562">
        <w:rPr>
          <w:sz w:val="20"/>
          <w:szCs w:val="20"/>
        </w:rPr>
        <w:t>U</w:t>
      </w:r>
      <w:r w:rsidR="00392DFE" w:rsidRPr="00904562">
        <w:rPr>
          <w:sz w:val="20"/>
          <w:szCs w:val="20"/>
        </w:rPr>
        <w:t>pdates</w:t>
      </w:r>
      <w:r w:rsidR="008E046C" w:rsidRPr="00904562">
        <w:rPr>
          <w:sz w:val="20"/>
          <w:szCs w:val="20"/>
        </w:rPr>
        <w:t xml:space="preserve"> abou</w:t>
      </w:r>
      <w:r w:rsidR="00D21050" w:rsidRPr="00904562">
        <w:rPr>
          <w:sz w:val="20"/>
          <w:szCs w:val="20"/>
        </w:rPr>
        <w:t xml:space="preserve">t matters relevant to the DC </w:t>
      </w:r>
      <w:r w:rsidR="007A1F15" w:rsidRPr="00904562">
        <w:rPr>
          <w:sz w:val="20"/>
          <w:szCs w:val="20"/>
        </w:rPr>
        <w:t>arrangements</w:t>
      </w:r>
      <w:r w:rsidR="00331232" w:rsidRPr="00904562">
        <w:rPr>
          <w:sz w:val="20"/>
          <w:szCs w:val="20"/>
        </w:rPr>
        <w:t>,</w:t>
      </w:r>
      <w:r w:rsidR="00D21050" w:rsidRPr="00904562">
        <w:rPr>
          <w:sz w:val="20"/>
          <w:szCs w:val="20"/>
        </w:rPr>
        <w:t xml:space="preserve"> including legisla</w:t>
      </w:r>
      <w:r w:rsidRPr="00904562">
        <w:rPr>
          <w:sz w:val="20"/>
          <w:szCs w:val="20"/>
        </w:rPr>
        <w:t xml:space="preserve">tive changes and </w:t>
      </w:r>
      <w:r w:rsidR="00392DFE" w:rsidRPr="00904562">
        <w:rPr>
          <w:sz w:val="20"/>
          <w:szCs w:val="20"/>
        </w:rPr>
        <w:t xml:space="preserve">updates on </w:t>
      </w:r>
      <w:r w:rsidRPr="00904562">
        <w:rPr>
          <w:sz w:val="20"/>
          <w:szCs w:val="20"/>
        </w:rPr>
        <w:t>market practice, and</w:t>
      </w:r>
    </w:p>
    <w:p w14:paraId="78A4602C" w14:textId="14DBA93E" w:rsidR="007A1F15" w:rsidRPr="00904562" w:rsidRDefault="004F2D64" w:rsidP="0061475C">
      <w:pPr>
        <w:pStyle w:val="ListParagraph"/>
        <w:numPr>
          <w:ilvl w:val="0"/>
          <w:numId w:val="22"/>
        </w:numPr>
        <w:jc w:val="both"/>
        <w:rPr>
          <w:sz w:val="20"/>
          <w:szCs w:val="20"/>
        </w:rPr>
      </w:pPr>
      <w:r w:rsidRPr="00904562">
        <w:rPr>
          <w:sz w:val="20"/>
          <w:szCs w:val="20"/>
        </w:rPr>
        <w:t>A</w:t>
      </w:r>
      <w:r w:rsidR="002C4118" w:rsidRPr="00904562">
        <w:rPr>
          <w:sz w:val="20"/>
          <w:szCs w:val="20"/>
        </w:rPr>
        <w:t>n annual g</w:t>
      </w:r>
      <w:r w:rsidR="00392DFE" w:rsidRPr="00904562">
        <w:rPr>
          <w:sz w:val="20"/>
          <w:szCs w:val="20"/>
        </w:rPr>
        <w:t>overnance report</w:t>
      </w:r>
      <w:r w:rsidR="002C4118" w:rsidRPr="00904562">
        <w:rPr>
          <w:sz w:val="20"/>
          <w:szCs w:val="20"/>
        </w:rPr>
        <w:t xml:space="preserve"> on the DC accounts</w:t>
      </w:r>
      <w:r w:rsidR="00392DFE" w:rsidRPr="00904562">
        <w:rPr>
          <w:sz w:val="20"/>
          <w:szCs w:val="20"/>
        </w:rPr>
        <w:t xml:space="preserve"> that provides</w:t>
      </w:r>
      <w:r w:rsidRPr="00904562">
        <w:rPr>
          <w:sz w:val="20"/>
          <w:szCs w:val="20"/>
        </w:rPr>
        <w:t xml:space="preserve"> an update on member numbers and fund values, significant developments at Prudential and Aviva and a review of the performance of the investment funds.</w:t>
      </w:r>
    </w:p>
    <w:p w14:paraId="2542E164" w14:textId="58E98972" w:rsidR="001A7926" w:rsidRPr="00904562" w:rsidRDefault="008D54AB" w:rsidP="0061475C">
      <w:pPr>
        <w:ind w:left="0" w:firstLine="0"/>
        <w:jc w:val="both"/>
        <w:rPr>
          <w:sz w:val="20"/>
          <w:szCs w:val="20"/>
        </w:rPr>
      </w:pPr>
      <w:r w:rsidRPr="00904562">
        <w:rPr>
          <w:sz w:val="20"/>
          <w:szCs w:val="20"/>
        </w:rPr>
        <w:t>Taking into account the above and the professional advice available to the Trustee</w:t>
      </w:r>
      <w:r w:rsidR="007A1F15" w:rsidRPr="00904562">
        <w:rPr>
          <w:sz w:val="20"/>
          <w:szCs w:val="20"/>
        </w:rPr>
        <w:t>, it</w:t>
      </w:r>
      <w:r w:rsidR="00F473D6" w:rsidRPr="00904562">
        <w:rPr>
          <w:sz w:val="20"/>
          <w:szCs w:val="20"/>
        </w:rPr>
        <w:t xml:space="preserve"> consider</w:t>
      </w:r>
      <w:r w:rsidR="007A1F15" w:rsidRPr="00904562">
        <w:rPr>
          <w:sz w:val="20"/>
          <w:szCs w:val="20"/>
        </w:rPr>
        <w:t xml:space="preserve">s </w:t>
      </w:r>
      <w:r w:rsidR="00A86DA3" w:rsidRPr="00904562">
        <w:rPr>
          <w:sz w:val="20"/>
          <w:szCs w:val="20"/>
        </w:rPr>
        <w:t xml:space="preserve">that </w:t>
      </w:r>
      <w:r w:rsidR="007A1F15" w:rsidRPr="00904562">
        <w:rPr>
          <w:sz w:val="20"/>
          <w:szCs w:val="20"/>
        </w:rPr>
        <w:t>it is able</w:t>
      </w:r>
      <w:r w:rsidR="00A86DA3" w:rsidRPr="00904562">
        <w:rPr>
          <w:sz w:val="20"/>
          <w:szCs w:val="20"/>
        </w:rPr>
        <w:t xml:space="preserve"> to properly undertak</w:t>
      </w:r>
      <w:r w:rsidR="007A1F15" w:rsidRPr="00904562">
        <w:rPr>
          <w:sz w:val="20"/>
          <w:szCs w:val="20"/>
        </w:rPr>
        <w:t>e its</w:t>
      </w:r>
      <w:r w:rsidRPr="00904562">
        <w:rPr>
          <w:sz w:val="20"/>
          <w:szCs w:val="20"/>
        </w:rPr>
        <w:t xml:space="preserve"> functions and responsib</w:t>
      </w:r>
      <w:r w:rsidR="007A1F15" w:rsidRPr="00904562">
        <w:rPr>
          <w:sz w:val="20"/>
          <w:szCs w:val="20"/>
        </w:rPr>
        <w:t>ilities in relation to</w:t>
      </w:r>
      <w:r w:rsidR="009A11F1" w:rsidRPr="00904562">
        <w:rPr>
          <w:sz w:val="20"/>
          <w:szCs w:val="20"/>
        </w:rPr>
        <w:t xml:space="preserve"> </w:t>
      </w:r>
      <w:r w:rsidR="00F473D6" w:rsidRPr="00904562">
        <w:rPr>
          <w:sz w:val="20"/>
          <w:szCs w:val="20"/>
        </w:rPr>
        <w:t xml:space="preserve">the DC </w:t>
      </w:r>
      <w:r w:rsidR="00392DFE" w:rsidRPr="00904562">
        <w:rPr>
          <w:sz w:val="20"/>
          <w:szCs w:val="20"/>
        </w:rPr>
        <w:t>account</w:t>
      </w:r>
      <w:r w:rsidR="007A1F15" w:rsidRPr="00904562">
        <w:rPr>
          <w:sz w:val="20"/>
          <w:szCs w:val="20"/>
        </w:rPr>
        <w:t xml:space="preserve">s </w:t>
      </w:r>
      <w:r w:rsidR="009A11F1" w:rsidRPr="00904562">
        <w:rPr>
          <w:sz w:val="20"/>
          <w:szCs w:val="20"/>
        </w:rPr>
        <w:t>as well as</w:t>
      </w:r>
      <w:r w:rsidRPr="00904562">
        <w:rPr>
          <w:sz w:val="20"/>
          <w:szCs w:val="20"/>
        </w:rPr>
        <w:t xml:space="preserve"> the Scheme as a whole.</w:t>
      </w:r>
      <w:r w:rsidR="001A7926" w:rsidRPr="00904562">
        <w:rPr>
          <w:sz w:val="20"/>
          <w:szCs w:val="20"/>
        </w:rPr>
        <w:t xml:space="preserve">  </w:t>
      </w:r>
    </w:p>
    <w:p w14:paraId="78EB8B90" w14:textId="678969A7" w:rsidR="008E046C" w:rsidRPr="00904562" w:rsidRDefault="00114941" w:rsidP="0061475C">
      <w:pPr>
        <w:spacing w:after="0" w:line="240" w:lineRule="auto"/>
        <w:jc w:val="both"/>
        <w:rPr>
          <w:rFonts w:asciiTheme="majorHAnsi" w:hAnsiTheme="majorHAnsi" w:cstheme="majorHAnsi"/>
          <w:b/>
          <w:sz w:val="20"/>
          <w:szCs w:val="20"/>
        </w:rPr>
      </w:pPr>
      <w:r w:rsidRPr="00904562">
        <w:rPr>
          <w:rFonts w:ascii="Arial" w:hAnsi="Arial" w:cs="Arial"/>
          <w:sz w:val="20"/>
          <w:szCs w:val="20"/>
        </w:rPr>
        <w:t>Robert Gravill</w:t>
      </w:r>
    </w:p>
    <w:p w14:paraId="14A7E7B3" w14:textId="525BFF6E" w:rsidR="00CA4D82" w:rsidRDefault="00967E0C" w:rsidP="0061475C">
      <w:pPr>
        <w:spacing w:after="0" w:line="240" w:lineRule="auto"/>
        <w:jc w:val="both"/>
        <w:rPr>
          <w:rFonts w:asciiTheme="majorHAnsi" w:hAnsiTheme="majorHAnsi" w:cstheme="majorHAnsi"/>
          <w:b/>
          <w:sz w:val="20"/>
          <w:szCs w:val="20"/>
        </w:rPr>
      </w:pPr>
      <w:r w:rsidRPr="00904562">
        <w:rPr>
          <w:rFonts w:asciiTheme="majorHAnsi" w:hAnsiTheme="majorHAnsi" w:cstheme="majorHAnsi"/>
          <w:b/>
          <w:sz w:val="20"/>
          <w:szCs w:val="20"/>
        </w:rPr>
        <w:t xml:space="preserve">Chair </w:t>
      </w:r>
      <w:r w:rsidR="00B956C2">
        <w:rPr>
          <w:rFonts w:asciiTheme="majorHAnsi" w:hAnsiTheme="majorHAnsi" w:cstheme="majorHAnsi"/>
          <w:b/>
          <w:sz w:val="20"/>
          <w:szCs w:val="20"/>
        </w:rPr>
        <w:t xml:space="preserve">of the </w:t>
      </w:r>
      <w:r w:rsidR="00A501BD" w:rsidRPr="00904562">
        <w:rPr>
          <w:rFonts w:asciiTheme="majorHAnsi" w:hAnsiTheme="majorHAnsi" w:cstheme="majorHAnsi"/>
          <w:b/>
          <w:sz w:val="20"/>
          <w:szCs w:val="20"/>
        </w:rPr>
        <w:t xml:space="preserve">NHBC </w:t>
      </w:r>
      <w:r w:rsidR="008E046C" w:rsidRPr="00904562">
        <w:rPr>
          <w:rFonts w:asciiTheme="majorHAnsi" w:hAnsiTheme="majorHAnsi" w:cstheme="majorHAnsi"/>
          <w:b/>
          <w:sz w:val="20"/>
          <w:szCs w:val="20"/>
        </w:rPr>
        <w:t>Pension S</w:t>
      </w:r>
      <w:r w:rsidR="007C29E8" w:rsidRPr="00904562">
        <w:rPr>
          <w:rFonts w:asciiTheme="majorHAnsi" w:hAnsiTheme="majorHAnsi" w:cstheme="majorHAnsi"/>
          <w:b/>
          <w:sz w:val="20"/>
          <w:szCs w:val="20"/>
        </w:rPr>
        <w:t>cheme</w:t>
      </w:r>
    </w:p>
    <w:p w14:paraId="7B7DD918" w14:textId="0D11532A" w:rsidR="00443B0F" w:rsidRDefault="00B956C2" w:rsidP="00D046D3">
      <w:pPr>
        <w:spacing w:before="0" w:after="0" w:line="240" w:lineRule="auto"/>
        <w:jc w:val="both"/>
        <w:rPr>
          <w:rFonts w:asciiTheme="majorHAnsi" w:hAnsiTheme="majorHAnsi" w:cstheme="majorHAnsi"/>
          <w:b/>
          <w:sz w:val="20"/>
          <w:szCs w:val="20"/>
        </w:rPr>
      </w:pPr>
      <w:r>
        <w:rPr>
          <w:rFonts w:asciiTheme="majorHAnsi" w:hAnsiTheme="majorHAnsi" w:cstheme="majorHAnsi"/>
          <w:b/>
          <w:sz w:val="20"/>
          <w:szCs w:val="20"/>
        </w:rPr>
        <w:t>For and on behalf of The Trustee Corporation</w:t>
      </w:r>
      <w:r w:rsidR="00443B0F">
        <w:rPr>
          <w:rFonts w:asciiTheme="majorHAnsi" w:hAnsiTheme="majorHAnsi" w:cstheme="majorHAnsi"/>
          <w:b/>
          <w:sz w:val="20"/>
          <w:szCs w:val="20"/>
        </w:rPr>
        <w:br w:type="page"/>
      </w:r>
    </w:p>
    <w:p w14:paraId="53F52C91" w14:textId="022B3399" w:rsidR="008F74CA" w:rsidRPr="00C27F92" w:rsidRDefault="00A92608" w:rsidP="00C8437E">
      <w:pPr>
        <w:spacing w:after="0" w:line="240" w:lineRule="auto"/>
        <w:ind w:left="0" w:firstLine="0"/>
        <w:jc w:val="both"/>
        <w:rPr>
          <w:rFonts w:asciiTheme="majorHAnsi" w:hAnsiTheme="majorHAnsi" w:cstheme="majorHAnsi"/>
          <w:b/>
          <w:sz w:val="24"/>
          <w:szCs w:val="24"/>
        </w:rPr>
      </w:pPr>
      <w:r w:rsidRPr="00C27F92">
        <w:rPr>
          <w:rFonts w:asciiTheme="majorHAnsi" w:hAnsiTheme="majorHAnsi" w:cstheme="majorHAnsi"/>
          <w:b/>
          <w:sz w:val="24"/>
          <w:szCs w:val="24"/>
        </w:rPr>
        <w:lastRenderedPageBreak/>
        <w:t>APPENDIX</w:t>
      </w:r>
    </w:p>
    <w:p w14:paraId="7FBB9648" w14:textId="6BBC3CEC" w:rsidR="008F74CA" w:rsidRPr="00D63CF8" w:rsidRDefault="008F74CA" w:rsidP="00C8437E">
      <w:pPr>
        <w:spacing w:after="0" w:line="240" w:lineRule="auto"/>
        <w:jc w:val="both"/>
        <w:rPr>
          <w:rFonts w:asciiTheme="majorHAnsi" w:hAnsiTheme="majorHAnsi" w:cstheme="majorHAnsi"/>
          <w:b/>
        </w:rPr>
      </w:pPr>
      <w:r w:rsidRPr="00D63CF8">
        <w:rPr>
          <w:rFonts w:asciiTheme="majorHAnsi" w:hAnsiTheme="majorHAnsi" w:cstheme="majorHAnsi"/>
          <w:b/>
        </w:rPr>
        <w:t xml:space="preserve">The impact of </w:t>
      </w:r>
      <w:r w:rsidR="0029307C" w:rsidRPr="00D63CF8">
        <w:rPr>
          <w:rFonts w:asciiTheme="majorHAnsi" w:hAnsiTheme="majorHAnsi" w:cstheme="majorHAnsi"/>
          <w:b/>
        </w:rPr>
        <w:t xml:space="preserve">annual </w:t>
      </w:r>
      <w:r w:rsidRPr="00D63CF8">
        <w:rPr>
          <w:rFonts w:asciiTheme="majorHAnsi" w:hAnsiTheme="majorHAnsi" w:cstheme="majorHAnsi"/>
          <w:b/>
        </w:rPr>
        <w:t>charges and transaction costs</w:t>
      </w:r>
    </w:p>
    <w:p w14:paraId="4F56D5D4" w14:textId="2CB3631E" w:rsidR="00C003AA" w:rsidRPr="00C003AA" w:rsidRDefault="00C003AA" w:rsidP="00C8437E">
      <w:pPr>
        <w:spacing w:after="0" w:line="240" w:lineRule="auto"/>
        <w:ind w:left="0" w:firstLine="0"/>
        <w:jc w:val="both"/>
        <w:rPr>
          <w:b/>
          <w:bCs/>
          <w:sz w:val="20"/>
          <w:szCs w:val="20"/>
        </w:rPr>
      </w:pPr>
      <w:r w:rsidRPr="00C003AA">
        <w:rPr>
          <w:b/>
          <w:bCs/>
          <w:sz w:val="20"/>
          <w:szCs w:val="20"/>
        </w:rPr>
        <w:t>Introduction</w:t>
      </w:r>
    </w:p>
    <w:p w14:paraId="1D829DA6" w14:textId="3777C5E0" w:rsidR="00B62B92" w:rsidRPr="00A209D1" w:rsidRDefault="00B62B92" w:rsidP="00C8437E">
      <w:pPr>
        <w:spacing w:after="0" w:line="240" w:lineRule="auto"/>
        <w:ind w:left="0" w:firstLine="0"/>
        <w:jc w:val="both"/>
        <w:rPr>
          <w:bCs/>
          <w:sz w:val="20"/>
          <w:szCs w:val="20"/>
        </w:rPr>
      </w:pPr>
      <w:r w:rsidRPr="00715BF1">
        <w:rPr>
          <w:sz w:val="20"/>
          <w:szCs w:val="20"/>
        </w:rPr>
        <w:t>The illustrations below provide an indication of how charges and transaction costs impact a member’s benefits over time.</w:t>
      </w:r>
      <w:r w:rsidR="00A209D1">
        <w:rPr>
          <w:sz w:val="20"/>
          <w:szCs w:val="20"/>
        </w:rPr>
        <w:t xml:space="preserve">  </w:t>
      </w:r>
      <w:r w:rsidR="00A209D1">
        <w:rPr>
          <w:rFonts w:asciiTheme="majorHAnsi" w:hAnsiTheme="majorHAnsi" w:cstheme="majorHAnsi"/>
          <w:bCs/>
          <w:sz w:val="20"/>
          <w:szCs w:val="20"/>
        </w:rPr>
        <w:t>As t</w:t>
      </w:r>
      <w:r w:rsidR="00A209D1" w:rsidRPr="00A209D1">
        <w:rPr>
          <w:rFonts w:asciiTheme="majorHAnsi" w:hAnsiTheme="majorHAnsi" w:cstheme="majorHAnsi"/>
          <w:bCs/>
          <w:sz w:val="20"/>
          <w:szCs w:val="20"/>
        </w:rPr>
        <w:t>he Scheme closed to future benefits on 31 March 2014</w:t>
      </w:r>
      <w:r w:rsidR="00294E48">
        <w:rPr>
          <w:rFonts w:asciiTheme="majorHAnsi" w:hAnsiTheme="majorHAnsi" w:cstheme="majorHAnsi"/>
          <w:bCs/>
          <w:sz w:val="20"/>
          <w:szCs w:val="20"/>
        </w:rPr>
        <w:t>, the illustrations assume no future contributions are paid.</w:t>
      </w:r>
    </w:p>
    <w:p w14:paraId="3AC97B37" w14:textId="21BFA449" w:rsidR="00E82C94" w:rsidRPr="00FC31C7" w:rsidRDefault="00490244" w:rsidP="00C8437E">
      <w:pPr>
        <w:ind w:left="0" w:firstLine="0"/>
        <w:jc w:val="both"/>
        <w:rPr>
          <w:rFonts w:ascii="Arial" w:hAnsi="Arial" w:cs="Arial"/>
          <w:color w:val="000000" w:themeColor="text1"/>
          <w:sz w:val="20"/>
          <w:szCs w:val="20"/>
        </w:rPr>
      </w:pPr>
      <w:r w:rsidRPr="00FC31C7">
        <w:rPr>
          <w:rFonts w:ascii="Arial" w:hAnsi="Arial" w:cs="Arial"/>
          <w:b/>
          <w:color w:val="000000" w:themeColor="text1"/>
          <w:sz w:val="20"/>
          <w:szCs w:val="20"/>
        </w:rPr>
        <w:t>Important n</w:t>
      </w:r>
      <w:r w:rsidR="00E82C94" w:rsidRPr="00FC31C7">
        <w:rPr>
          <w:rFonts w:ascii="Arial" w:hAnsi="Arial" w:cs="Arial"/>
          <w:b/>
          <w:color w:val="000000" w:themeColor="text1"/>
          <w:sz w:val="20"/>
          <w:szCs w:val="20"/>
        </w:rPr>
        <w:t>ote:</w:t>
      </w:r>
      <w:r w:rsidR="00E82C94" w:rsidRPr="00FC31C7">
        <w:rPr>
          <w:rFonts w:ascii="Arial" w:hAnsi="Arial" w:cs="Arial"/>
          <w:color w:val="000000" w:themeColor="text1"/>
          <w:sz w:val="20"/>
          <w:szCs w:val="20"/>
        </w:rPr>
        <w:t xml:space="preserve"> as required under the regulations that govern these illustrations, all figures are shown in ‘</w:t>
      </w:r>
      <w:r w:rsidR="00E82C94" w:rsidRPr="00FC31C7">
        <w:rPr>
          <w:rFonts w:ascii="Arial" w:hAnsi="Arial" w:cs="Arial"/>
          <w:bCs/>
          <w:color w:val="000000" w:themeColor="text1"/>
          <w:sz w:val="20"/>
          <w:szCs w:val="20"/>
        </w:rPr>
        <w:t>today’s money’</w:t>
      </w:r>
      <w:r w:rsidR="00E82C94" w:rsidRPr="00FC31C7">
        <w:rPr>
          <w:rFonts w:ascii="Arial" w:hAnsi="Arial" w:cs="Arial"/>
          <w:color w:val="000000" w:themeColor="text1"/>
          <w:sz w:val="20"/>
          <w:szCs w:val="20"/>
        </w:rPr>
        <w:t>, which means they allow for future inflation, assumed to be 2.5% p.a.  Whilst this means the illustrations show</w:t>
      </w:r>
      <w:r w:rsidR="00331F28" w:rsidRPr="00FC31C7">
        <w:rPr>
          <w:rFonts w:ascii="Arial" w:hAnsi="Arial" w:cs="Arial"/>
          <w:color w:val="000000" w:themeColor="text1"/>
          <w:sz w:val="20"/>
          <w:szCs w:val="20"/>
        </w:rPr>
        <w:t xml:space="preserve"> what a member’s DC account</w:t>
      </w:r>
      <w:r w:rsidR="00E82C94" w:rsidRPr="00FC31C7">
        <w:rPr>
          <w:rFonts w:ascii="Arial" w:hAnsi="Arial" w:cs="Arial"/>
          <w:color w:val="000000" w:themeColor="text1"/>
          <w:sz w:val="20"/>
          <w:szCs w:val="20"/>
        </w:rPr>
        <w:t xml:space="preserve"> could be worth today, it is important to remember that over time, inflation reduces the worth of all savings and investments.  The effect of this is shown in the illustrations and means the projected values may reduce as well as grow in ‘today’s money’ depending on whether the assumed growth rate before and after charges is above or below the assumed rate of inflation.</w:t>
      </w:r>
    </w:p>
    <w:p w14:paraId="4FEBA0BF" w14:textId="4B74CC76" w:rsidR="00B62B92" w:rsidRPr="00715BF1" w:rsidRDefault="006973A2" w:rsidP="00C8437E">
      <w:pPr>
        <w:spacing w:line="240" w:lineRule="auto"/>
        <w:ind w:left="0" w:firstLine="0"/>
        <w:jc w:val="both"/>
        <w:rPr>
          <w:b/>
          <w:sz w:val="20"/>
          <w:szCs w:val="20"/>
        </w:rPr>
      </w:pPr>
      <w:r>
        <w:rPr>
          <w:b/>
          <w:sz w:val="20"/>
          <w:szCs w:val="20"/>
        </w:rPr>
        <w:t xml:space="preserve">Aviva </w:t>
      </w:r>
      <w:r w:rsidR="00331F28">
        <w:rPr>
          <w:b/>
          <w:sz w:val="20"/>
          <w:szCs w:val="20"/>
        </w:rPr>
        <w:t xml:space="preserve">AVC </w:t>
      </w:r>
      <w:r>
        <w:rPr>
          <w:b/>
          <w:sz w:val="20"/>
          <w:szCs w:val="20"/>
        </w:rPr>
        <w:t>A</w:t>
      </w:r>
      <w:r w:rsidR="00B62B92" w:rsidRPr="00715BF1">
        <w:rPr>
          <w:b/>
          <w:sz w:val="20"/>
          <w:szCs w:val="20"/>
        </w:rPr>
        <w:t>ccounts</w:t>
      </w:r>
    </w:p>
    <w:p w14:paraId="5DF18084" w14:textId="4E9E7FF9" w:rsidR="00254E38" w:rsidRPr="00254E38" w:rsidRDefault="008F74CA" w:rsidP="00C8437E">
      <w:pPr>
        <w:spacing w:line="240" w:lineRule="auto"/>
        <w:ind w:left="0" w:firstLine="0"/>
        <w:jc w:val="both"/>
        <w:rPr>
          <w:sz w:val="20"/>
          <w:szCs w:val="20"/>
        </w:rPr>
      </w:pPr>
      <w:r w:rsidRPr="00715BF1">
        <w:rPr>
          <w:sz w:val="20"/>
          <w:szCs w:val="20"/>
        </w:rPr>
        <w:t>The illustrations below</w:t>
      </w:r>
      <w:r w:rsidR="003A550B" w:rsidRPr="00715BF1">
        <w:rPr>
          <w:sz w:val="20"/>
          <w:szCs w:val="20"/>
        </w:rPr>
        <w:t xml:space="preserve"> have been produced by Aviva on behalf of the Trustee and</w:t>
      </w:r>
      <w:r w:rsidRPr="00715BF1">
        <w:rPr>
          <w:sz w:val="20"/>
          <w:szCs w:val="20"/>
        </w:rPr>
        <w:t xml:space="preserve"> provide an indication of how charges and transaction costs impact </w:t>
      </w:r>
      <w:r w:rsidR="00331F28">
        <w:rPr>
          <w:sz w:val="20"/>
          <w:szCs w:val="20"/>
        </w:rPr>
        <w:t xml:space="preserve">the value of </w:t>
      </w:r>
      <w:r w:rsidRPr="00715BF1">
        <w:rPr>
          <w:sz w:val="20"/>
          <w:szCs w:val="20"/>
        </w:rPr>
        <w:t xml:space="preserve">a member’s </w:t>
      </w:r>
      <w:r w:rsidR="00B62B92" w:rsidRPr="00715BF1">
        <w:rPr>
          <w:sz w:val="20"/>
          <w:szCs w:val="20"/>
        </w:rPr>
        <w:t xml:space="preserve">AVC </w:t>
      </w:r>
      <w:r w:rsidR="00331F28">
        <w:rPr>
          <w:sz w:val="20"/>
          <w:szCs w:val="20"/>
        </w:rPr>
        <w:t>Account</w:t>
      </w:r>
      <w:r w:rsidRPr="00715BF1">
        <w:rPr>
          <w:sz w:val="20"/>
          <w:szCs w:val="20"/>
        </w:rPr>
        <w:t xml:space="preserve"> over time.</w:t>
      </w:r>
      <w:r w:rsidR="00D8458A" w:rsidRPr="00715BF1">
        <w:rPr>
          <w:sz w:val="20"/>
          <w:szCs w:val="20"/>
        </w:rPr>
        <w:t xml:space="preserve"> </w:t>
      </w:r>
      <w:r w:rsidR="00254E38">
        <w:rPr>
          <w:sz w:val="20"/>
          <w:szCs w:val="20"/>
        </w:rPr>
        <w:t xml:space="preserve"> The </w:t>
      </w:r>
      <w:r w:rsidR="00254E38" w:rsidRPr="00254E38">
        <w:rPr>
          <w:sz w:val="20"/>
          <w:szCs w:val="20"/>
        </w:rPr>
        <w:t>projection</w:t>
      </w:r>
      <w:r w:rsidR="00254E38">
        <w:rPr>
          <w:sz w:val="20"/>
          <w:szCs w:val="20"/>
        </w:rPr>
        <w:t>s are over</w:t>
      </w:r>
      <w:r w:rsidR="00254E38" w:rsidRPr="00254E38">
        <w:rPr>
          <w:sz w:val="20"/>
          <w:szCs w:val="20"/>
        </w:rPr>
        <w:t xml:space="preserve"> </w:t>
      </w:r>
      <w:r w:rsidR="00254E38" w:rsidRPr="001A5F52">
        <w:rPr>
          <w:sz w:val="20"/>
          <w:szCs w:val="20"/>
        </w:rPr>
        <w:t>15</w:t>
      </w:r>
      <w:r w:rsidR="00254E38" w:rsidRPr="00254E38">
        <w:rPr>
          <w:sz w:val="20"/>
          <w:szCs w:val="20"/>
        </w:rPr>
        <w:t xml:space="preserve"> years, being the approximate duration that the youngest member</w:t>
      </w:r>
      <w:r w:rsidR="00254E38">
        <w:rPr>
          <w:sz w:val="20"/>
          <w:szCs w:val="20"/>
        </w:rPr>
        <w:t xml:space="preserve"> with an AVC account</w:t>
      </w:r>
      <w:r w:rsidR="00254E38" w:rsidRPr="00254E38">
        <w:rPr>
          <w:sz w:val="20"/>
          <w:szCs w:val="20"/>
        </w:rPr>
        <w:t xml:space="preserve"> has until they reach the </w:t>
      </w:r>
      <w:r w:rsidR="00254E38">
        <w:rPr>
          <w:sz w:val="20"/>
          <w:szCs w:val="20"/>
        </w:rPr>
        <w:t>S</w:t>
      </w:r>
      <w:r w:rsidR="00254E38" w:rsidRPr="00254E38">
        <w:rPr>
          <w:sz w:val="20"/>
          <w:szCs w:val="20"/>
        </w:rPr>
        <w:t>cheme’s Normal Pension Age</w:t>
      </w:r>
      <w:r w:rsidR="00254E38">
        <w:rPr>
          <w:sz w:val="20"/>
          <w:szCs w:val="20"/>
        </w:rPr>
        <w:t>.</w:t>
      </w:r>
      <w:r w:rsidR="00C57F0B">
        <w:rPr>
          <w:sz w:val="20"/>
          <w:szCs w:val="20"/>
        </w:rPr>
        <w:t xml:space="preserve">  All figures have been rounded to the nearest £100.</w:t>
      </w:r>
    </w:p>
    <w:p w14:paraId="7ABCD6EE" w14:textId="7DAC8183" w:rsidR="000A7A58" w:rsidRPr="00381AA3" w:rsidRDefault="00D8458A" w:rsidP="00C8437E">
      <w:pPr>
        <w:spacing w:line="240" w:lineRule="auto"/>
        <w:ind w:left="0" w:firstLine="0"/>
        <w:jc w:val="both"/>
        <w:rPr>
          <w:color w:val="000000" w:themeColor="text1"/>
          <w:sz w:val="20"/>
          <w:szCs w:val="20"/>
        </w:rPr>
      </w:pPr>
      <w:r w:rsidRPr="00381AA3">
        <w:rPr>
          <w:color w:val="000000" w:themeColor="text1"/>
          <w:sz w:val="20"/>
          <w:szCs w:val="20"/>
        </w:rPr>
        <w:t>The investments funds chosen for the purposes of these illustrations are:</w:t>
      </w:r>
    </w:p>
    <w:p w14:paraId="7CFA71FF" w14:textId="11FB44CC" w:rsidR="00D8458A" w:rsidRPr="00381AA3" w:rsidRDefault="00D8458A" w:rsidP="00C8437E">
      <w:pPr>
        <w:pStyle w:val="ListParagraph"/>
        <w:numPr>
          <w:ilvl w:val="0"/>
          <w:numId w:val="25"/>
        </w:numPr>
        <w:spacing w:line="240" w:lineRule="auto"/>
        <w:jc w:val="both"/>
        <w:rPr>
          <w:color w:val="000000" w:themeColor="text1"/>
          <w:sz w:val="20"/>
          <w:szCs w:val="20"/>
        </w:rPr>
      </w:pPr>
      <w:r w:rsidRPr="00381AA3">
        <w:rPr>
          <w:color w:val="000000" w:themeColor="text1"/>
          <w:sz w:val="20"/>
          <w:szCs w:val="20"/>
        </w:rPr>
        <w:t>The With-Profits fund – this is the investment fund chosen by the majority of members</w:t>
      </w:r>
      <w:r w:rsidR="007C2AA3" w:rsidRPr="00381AA3">
        <w:rPr>
          <w:color w:val="000000" w:themeColor="text1"/>
          <w:sz w:val="20"/>
          <w:szCs w:val="20"/>
        </w:rPr>
        <w:t>.</w:t>
      </w:r>
    </w:p>
    <w:p w14:paraId="18BBA58B" w14:textId="5307D759" w:rsidR="00C32EDC" w:rsidRPr="00C32EDC" w:rsidRDefault="00D8458A" w:rsidP="00C32EDC">
      <w:pPr>
        <w:pStyle w:val="ListParagraph"/>
        <w:numPr>
          <w:ilvl w:val="0"/>
          <w:numId w:val="25"/>
        </w:numPr>
        <w:spacing w:line="240" w:lineRule="auto"/>
        <w:jc w:val="both"/>
        <w:rPr>
          <w:color w:val="000000" w:themeColor="text1"/>
          <w:sz w:val="20"/>
          <w:szCs w:val="20"/>
        </w:rPr>
      </w:pPr>
      <w:r w:rsidRPr="00381AA3">
        <w:rPr>
          <w:color w:val="000000" w:themeColor="text1"/>
          <w:sz w:val="20"/>
          <w:szCs w:val="20"/>
        </w:rPr>
        <w:t xml:space="preserve">The Pacific </w:t>
      </w:r>
      <w:r w:rsidR="008A23BE" w:rsidRPr="00381AA3">
        <w:rPr>
          <w:color w:val="000000" w:themeColor="text1"/>
          <w:sz w:val="20"/>
          <w:szCs w:val="20"/>
        </w:rPr>
        <w:t xml:space="preserve">Rim </w:t>
      </w:r>
      <w:r w:rsidRPr="00381AA3">
        <w:rPr>
          <w:color w:val="000000" w:themeColor="text1"/>
          <w:sz w:val="20"/>
          <w:szCs w:val="20"/>
        </w:rPr>
        <w:t xml:space="preserve">Equity </w:t>
      </w:r>
      <w:r w:rsidR="008A23BE" w:rsidRPr="00381AA3">
        <w:rPr>
          <w:color w:val="000000" w:themeColor="text1"/>
          <w:sz w:val="20"/>
          <w:szCs w:val="20"/>
        </w:rPr>
        <w:t xml:space="preserve">Index </w:t>
      </w:r>
      <w:r w:rsidRPr="00381AA3">
        <w:rPr>
          <w:color w:val="000000" w:themeColor="text1"/>
          <w:sz w:val="20"/>
          <w:szCs w:val="20"/>
        </w:rPr>
        <w:t xml:space="preserve">fund – this is one of the investment funds with the highest </w:t>
      </w:r>
      <w:r w:rsidR="008A23BE" w:rsidRPr="00381AA3">
        <w:rPr>
          <w:color w:val="000000" w:themeColor="text1"/>
          <w:sz w:val="20"/>
          <w:szCs w:val="20"/>
        </w:rPr>
        <w:t>level of charges</w:t>
      </w:r>
      <w:r w:rsidR="007C2AA3" w:rsidRPr="00381AA3">
        <w:rPr>
          <w:color w:val="000000" w:themeColor="text1"/>
          <w:sz w:val="20"/>
          <w:szCs w:val="20"/>
        </w:rPr>
        <w:t>.</w:t>
      </w:r>
    </w:p>
    <w:p w14:paraId="383810C1" w14:textId="63261BC1" w:rsidR="00D8458A" w:rsidRPr="00C32EDC" w:rsidRDefault="00D8458A" w:rsidP="00C8437E">
      <w:pPr>
        <w:pStyle w:val="ListParagraph"/>
        <w:numPr>
          <w:ilvl w:val="0"/>
          <w:numId w:val="25"/>
        </w:numPr>
        <w:spacing w:after="240" w:line="240" w:lineRule="auto"/>
        <w:jc w:val="both"/>
        <w:rPr>
          <w:color w:val="000000" w:themeColor="text1"/>
          <w:sz w:val="20"/>
          <w:szCs w:val="20"/>
        </w:rPr>
      </w:pPr>
      <w:r w:rsidRPr="00C32EDC">
        <w:rPr>
          <w:color w:val="000000" w:themeColor="text1"/>
          <w:sz w:val="20"/>
          <w:szCs w:val="20"/>
        </w:rPr>
        <w:t xml:space="preserve">The </w:t>
      </w:r>
      <w:r w:rsidR="00C32EDC" w:rsidRPr="00C32EDC">
        <w:rPr>
          <w:color w:val="000000" w:themeColor="text1"/>
          <w:sz w:val="20"/>
          <w:szCs w:val="20"/>
        </w:rPr>
        <w:t xml:space="preserve">Deposit Fund and </w:t>
      </w:r>
      <w:r w:rsidR="003C6A04" w:rsidRPr="00C32EDC">
        <w:rPr>
          <w:color w:val="000000" w:themeColor="text1"/>
          <w:sz w:val="20"/>
          <w:szCs w:val="20"/>
        </w:rPr>
        <w:t xml:space="preserve">My Future </w:t>
      </w:r>
      <w:r w:rsidR="008335EF" w:rsidRPr="00C32EDC">
        <w:rPr>
          <w:color w:val="000000" w:themeColor="text1"/>
          <w:sz w:val="20"/>
          <w:szCs w:val="20"/>
        </w:rPr>
        <w:t>Focus Consolidation</w:t>
      </w:r>
      <w:r w:rsidR="003A550B" w:rsidRPr="00C32EDC">
        <w:rPr>
          <w:color w:val="000000" w:themeColor="text1"/>
          <w:sz w:val="20"/>
          <w:szCs w:val="20"/>
        </w:rPr>
        <w:t xml:space="preserve"> fund – </w:t>
      </w:r>
      <w:r w:rsidR="00C32EDC" w:rsidRPr="00C32EDC">
        <w:rPr>
          <w:color w:val="000000" w:themeColor="text1"/>
          <w:sz w:val="20"/>
          <w:szCs w:val="20"/>
        </w:rPr>
        <w:t>these are</w:t>
      </w:r>
      <w:r w:rsidR="003A550B" w:rsidRPr="00C32EDC">
        <w:rPr>
          <w:color w:val="000000" w:themeColor="text1"/>
          <w:sz w:val="20"/>
          <w:szCs w:val="20"/>
        </w:rPr>
        <w:t xml:space="preserve"> the investment fund</w:t>
      </w:r>
      <w:r w:rsidR="00C32EDC" w:rsidRPr="00C32EDC">
        <w:rPr>
          <w:color w:val="000000" w:themeColor="text1"/>
          <w:sz w:val="20"/>
          <w:szCs w:val="20"/>
        </w:rPr>
        <w:t>s</w:t>
      </w:r>
      <w:r w:rsidR="003A550B" w:rsidRPr="00C32EDC">
        <w:rPr>
          <w:color w:val="000000" w:themeColor="text1"/>
          <w:sz w:val="20"/>
          <w:szCs w:val="20"/>
        </w:rPr>
        <w:t xml:space="preserve"> with the lowest </w:t>
      </w:r>
      <w:r w:rsidR="00B4219D" w:rsidRPr="00C32EDC">
        <w:rPr>
          <w:color w:val="000000" w:themeColor="text1"/>
          <w:sz w:val="20"/>
          <w:szCs w:val="20"/>
        </w:rPr>
        <w:t>level of charges</w:t>
      </w:r>
      <w:r w:rsidR="003A550B" w:rsidRPr="00C32EDC">
        <w:rPr>
          <w:color w:val="000000" w:themeColor="text1"/>
          <w:sz w:val="20"/>
          <w:szCs w:val="20"/>
        </w:rPr>
        <w:t>.</w:t>
      </w:r>
    </w:p>
    <w:tbl>
      <w:tblPr>
        <w:tblW w:w="0" w:type="auto"/>
        <w:tblInd w:w="92" w:type="dxa"/>
        <w:tblLayout w:type="fixed"/>
        <w:tblCellMar>
          <w:left w:w="0" w:type="dxa"/>
          <w:right w:w="0" w:type="dxa"/>
        </w:tblCellMar>
        <w:tblLook w:val="01E0" w:firstRow="1" w:lastRow="1" w:firstColumn="1" w:lastColumn="1" w:noHBand="0" w:noVBand="0"/>
      </w:tblPr>
      <w:tblGrid>
        <w:gridCol w:w="936"/>
        <w:gridCol w:w="1339"/>
        <w:gridCol w:w="1339"/>
        <w:gridCol w:w="1339"/>
        <w:gridCol w:w="1339"/>
        <w:gridCol w:w="1339"/>
        <w:gridCol w:w="1339"/>
      </w:tblGrid>
      <w:tr w:rsidR="00A51A9C" w:rsidRPr="00A51A9C" w14:paraId="11723E50" w14:textId="77777777" w:rsidTr="00B62B92">
        <w:trPr>
          <w:trHeight w:hRule="exact" w:val="576"/>
        </w:trPr>
        <w:tc>
          <w:tcPr>
            <w:tcW w:w="936" w:type="dxa"/>
            <w:tcBorders>
              <w:top w:val="single" w:sz="8" w:space="0" w:color="000000"/>
              <w:left w:val="single" w:sz="8" w:space="0" w:color="000000"/>
              <w:right w:val="single" w:sz="8" w:space="0" w:color="000000"/>
            </w:tcBorders>
            <w:shd w:val="clear" w:color="auto" w:fill="F2F2F2" w:themeFill="background1" w:themeFillShade="F2"/>
          </w:tcPr>
          <w:p w14:paraId="65F3C3E3" w14:textId="77777777" w:rsidR="000A7A58" w:rsidRPr="00A51A9C" w:rsidRDefault="000A7A58" w:rsidP="006419ED">
            <w:pPr>
              <w:rPr>
                <w:rFonts w:ascii="Arial" w:hAnsi="Arial" w:cs="Arial"/>
                <w:color w:val="FF0000"/>
              </w:rPr>
            </w:pPr>
          </w:p>
        </w:tc>
        <w:tc>
          <w:tcPr>
            <w:tcW w:w="8034" w:type="dxa"/>
            <w:gridSpan w:val="6"/>
            <w:tcBorders>
              <w:top w:val="single" w:sz="8" w:space="0" w:color="000000"/>
              <w:left w:val="single" w:sz="8" w:space="0" w:color="000000"/>
              <w:bottom w:val="single" w:sz="8" w:space="0" w:color="000000"/>
              <w:right w:val="single" w:sz="8" w:space="0" w:color="000000"/>
            </w:tcBorders>
            <w:shd w:val="clear" w:color="auto" w:fill="F1F1F1"/>
            <w:vAlign w:val="center"/>
          </w:tcPr>
          <w:p w14:paraId="0EF24E2D" w14:textId="77777777" w:rsidR="000A7A58" w:rsidRPr="00CD538E" w:rsidRDefault="000A7A58" w:rsidP="000A7A58">
            <w:pPr>
              <w:pStyle w:val="TableParagraph"/>
              <w:spacing w:before="10"/>
              <w:jc w:val="center"/>
              <w:rPr>
                <w:rFonts w:ascii="Arial" w:hAnsi="Arial" w:cs="Arial"/>
                <w:b/>
                <w:color w:val="000000" w:themeColor="text1"/>
                <w:spacing w:val="11"/>
                <w:sz w:val="19"/>
              </w:rPr>
            </w:pPr>
            <w:r w:rsidRPr="00CD538E">
              <w:rPr>
                <w:rFonts w:ascii="Arial" w:hAnsi="Arial" w:cs="Arial"/>
                <w:b/>
                <w:color w:val="000000" w:themeColor="text1"/>
                <w:spacing w:val="-1"/>
                <w:sz w:val="19"/>
              </w:rPr>
              <w:t>Illustration</w:t>
            </w:r>
            <w:r w:rsidRPr="00CD538E">
              <w:rPr>
                <w:rFonts w:ascii="Arial" w:hAnsi="Arial" w:cs="Arial"/>
                <w:b/>
                <w:color w:val="000000" w:themeColor="text1"/>
                <w:spacing w:val="8"/>
                <w:sz w:val="19"/>
              </w:rPr>
              <w:t xml:space="preserve"> </w:t>
            </w:r>
            <w:r w:rsidRPr="00CD538E">
              <w:rPr>
                <w:rFonts w:ascii="Arial" w:hAnsi="Arial" w:cs="Arial"/>
                <w:b/>
                <w:color w:val="000000" w:themeColor="text1"/>
                <w:sz w:val="19"/>
              </w:rPr>
              <w:t>of</w:t>
            </w:r>
            <w:r w:rsidRPr="00CD538E">
              <w:rPr>
                <w:rFonts w:ascii="Arial" w:hAnsi="Arial" w:cs="Arial"/>
                <w:b/>
                <w:color w:val="000000" w:themeColor="text1"/>
                <w:spacing w:val="11"/>
                <w:sz w:val="19"/>
              </w:rPr>
              <w:t xml:space="preserve"> </w:t>
            </w:r>
            <w:r w:rsidRPr="00CD538E">
              <w:rPr>
                <w:rFonts w:ascii="Arial" w:hAnsi="Arial" w:cs="Arial"/>
                <w:b/>
                <w:color w:val="000000" w:themeColor="text1"/>
                <w:sz w:val="19"/>
              </w:rPr>
              <w:t>effect</w:t>
            </w:r>
            <w:r w:rsidRPr="00CD538E">
              <w:rPr>
                <w:rFonts w:ascii="Arial" w:hAnsi="Arial" w:cs="Arial"/>
                <w:b/>
                <w:color w:val="000000" w:themeColor="text1"/>
                <w:spacing w:val="10"/>
                <w:sz w:val="19"/>
              </w:rPr>
              <w:t xml:space="preserve"> </w:t>
            </w:r>
            <w:r w:rsidRPr="00CD538E">
              <w:rPr>
                <w:rFonts w:ascii="Arial" w:hAnsi="Arial" w:cs="Arial"/>
                <w:b/>
                <w:color w:val="000000" w:themeColor="text1"/>
                <w:sz w:val="19"/>
              </w:rPr>
              <w:t>of</w:t>
            </w:r>
            <w:r w:rsidRPr="00CD538E">
              <w:rPr>
                <w:rFonts w:ascii="Arial" w:hAnsi="Arial" w:cs="Arial"/>
                <w:b/>
                <w:color w:val="000000" w:themeColor="text1"/>
                <w:spacing w:val="11"/>
                <w:sz w:val="19"/>
              </w:rPr>
              <w:t xml:space="preserve"> </w:t>
            </w:r>
            <w:r w:rsidRPr="00CD538E">
              <w:rPr>
                <w:rFonts w:ascii="Arial" w:hAnsi="Arial" w:cs="Arial"/>
                <w:b/>
                <w:color w:val="000000" w:themeColor="text1"/>
                <w:sz w:val="19"/>
              </w:rPr>
              <w:t>costs</w:t>
            </w:r>
            <w:r w:rsidRPr="00CD538E">
              <w:rPr>
                <w:rFonts w:ascii="Arial" w:hAnsi="Arial" w:cs="Arial"/>
                <w:b/>
                <w:color w:val="000000" w:themeColor="text1"/>
                <w:spacing w:val="10"/>
                <w:sz w:val="19"/>
              </w:rPr>
              <w:t xml:space="preserve"> </w:t>
            </w:r>
            <w:r w:rsidRPr="00CD538E">
              <w:rPr>
                <w:rFonts w:ascii="Arial" w:hAnsi="Arial" w:cs="Arial"/>
                <w:b/>
                <w:color w:val="000000" w:themeColor="text1"/>
                <w:spacing w:val="-1"/>
                <w:sz w:val="19"/>
              </w:rPr>
              <w:t>and</w:t>
            </w:r>
            <w:r w:rsidRPr="00CD538E">
              <w:rPr>
                <w:rFonts w:ascii="Arial" w:hAnsi="Arial" w:cs="Arial"/>
                <w:b/>
                <w:color w:val="000000" w:themeColor="text1"/>
                <w:spacing w:val="9"/>
                <w:sz w:val="19"/>
              </w:rPr>
              <w:t xml:space="preserve"> </w:t>
            </w:r>
            <w:r w:rsidRPr="00CD538E">
              <w:rPr>
                <w:rFonts w:ascii="Arial" w:hAnsi="Arial" w:cs="Arial"/>
                <w:b/>
                <w:color w:val="000000" w:themeColor="text1"/>
                <w:spacing w:val="-1"/>
                <w:sz w:val="19"/>
              </w:rPr>
              <w:t>charges</w:t>
            </w:r>
            <w:r w:rsidRPr="00CD538E">
              <w:rPr>
                <w:rFonts w:ascii="Arial" w:hAnsi="Arial" w:cs="Arial"/>
                <w:b/>
                <w:color w:val="000000" w:themeColor="text1"/>
                <w:spacing w:val="10"/>
                <w:sz w:val="19"/>
              </w:rPr>
              <w:t xml:space="preserve"> </w:t>
            </w:r>
            <w:r w:rsidRPr="00CD538E">
              <w:rPr>
                <w:rFonts w:ascii="Arial" w:hAnsi="Arial" w:cs="Arial"/>
                <w:b/>
                <w:color w:val="000000" w:themeColor="text1"/>
                <w:sz w:val="19"/>
              </w:rPr>
              <w:t>for</w:t>
            </w:r>
            <w:r w:rsidRPr="00CD538E">
              <w:rPr>
                <w:rFonts w:ascii="Arial" w:hAnsi="Arial" w:cs="Arial"/>
                <w:b/>
                <w:color w:val="000000" w:themeColor="text1"/>
                <w:spacing w:val="9"/>
                <w:sz w:val="19"/>
              </w:rPr>
              <w:t xml:space="preserve"> typical </w:t>
            </w:r>
            <w:r w:rsidRPr="00CD538E">
              <w:rPr>
                <w:rFonts w:ascii="Arial" w:hAnsi="Arial" w:cs="Arial"/>
                <w:b/>
                <w:color w:val="000000" w:themeColor="text1"/>
                <w:spacing w:val="-1"/>
                <w:sz w:val="19"/>
              </w:rPr>
              <w:t>funds</w:t>
            </w:r>
            <w:r w:rsidRPr="00CD538E">
              <w:rPr>
                <w:rFonts w:ascii="Arial" w:hAnsi="Arial" w:cs="Arial"/>
                <w:b/>
                <w:color w:val="000000" w:themeColor="text1"/>
                <w:spacing w:val="11"/>
                <w:sz w:val="19"/>
              </w:rPr>
              <w:t xml:space="preserve"> </w:t>
            </w:r>
          </w:p>
          <w:p w14:paraId="0C0E08BF" w14:textId="24F20486" w:rsidR="000A7A58" w:rsidRPr="001427F1" w:rsidRDefault="0005496F" w:rsidP="000A7A58">
            <w:pPr>
              <w:pStyle w:val="TableParagraph"/>
              <w:spacing w:before="10"/>
              <w:jc w:val="center"/>
              <w:rPr>
                <w:rFonts w:ascii="Arial" w:eastAsia="Source Sans Pro" w:hAnsi="Arial" w:cs="Arial"/>
                <w:b/>
                <w:bCs/>
                <w:color w:val="FF0000"/>
                <w:sz w:val="20"/>
                <w:szCs w:val="20"/>
              </w:rPr>
            </w:pPr>
            <w:r w:rsidRPr="00CD538E">
              <w:rPr>
                <w:rFonts w:ascii="Arial" w:hAnsi="Arial" w:cs="Arial"/>
                <w:b/>
                <w:color w:val="000000" w:themeColor="text1"/>
                <w:spacing w:val="11"/>
                <w:sz w:val="19"/>
              </w:rPr>
              <w:t>under</w:t>
            </w:r>
            <w:r w:rsidR="000A7A58" w:rsidRPr="00CD538E">
              <w:rPr>
                <w:rFonts w:ascii="Arial" w:hAnsi="Arial" w:cs="Arial"/>
                <w:b/>
                <w:color w:val="000000" w:themeColor="text1"/>
                <w:spacing w:val="11"/>
                <w:sz w:val="19"/>
              </w:rPr>
              <w:t xml:space="preserve"> the </w:t>
            </w:r>
            <w:r w:rsidR="00A92608" w:rsidRPr="00CD538E">
              <w:rPr>
                <w:rFonts w:ascii="Arial" w:hAnsi="Arial" w:cs="Arial"/>
                <w:b/>
                <w:color w:val="000000" w:themeColor="text1"/>
                <w:spacing w:val="11"/>
                <w:sz w:val="19"/>
              </w:rPr>
              <w:t>Aviva AVC arrangement</w:t>
            </w:r>
          </w:p>
        </w:tc>
      </w:tr>
      <w:tr w:rsidR="00A51A9C" w:rsidRPr="00A51A9C" w14:paraId="7F4625BC" w14:textId="77777777" w:rsidTr="00B62B92">
        <w:trPr>
          <w:trHeight w:hRule="exact" w:val="495"/>
        </w:trPr>
        <w:tc>
          <w:tcPr>
            <w:tcW w:w="936" w:type="dxa"/>
            <w:vMerge w:val="restart"/>
            <w:tcBorders>
              <w:top w:val="single" w:sz="8" w:space="0" w:color="000000"/>
              <w:left w:val="single" w:sz="8" w:space="0" w:color="000000"/>
              <w:right w:val="single" w:sz="8" w:space="0" w:color="000000"/>
            </w:tcBorders>
            <w:shd w:val="clear" w:color="auto" w:fill="F2F2F2" w:themeFill="background1" w:themeFillShade="F2"/>
          </w:tcPr>
          <w:p w14:paraId="064ED9EF" w14:textId="77777777" w:rsidR="000A7A58" w:rsidRPr="00A51A9C" w:rsidRDefault="000A7A58" w:rsidP="006419ED">
            <w:pPr>
              <w:rPr>
                <w:rFonts w:ascii="Arial" w:hAnsi="Arial" w:cs="Arial"/>
                <w:color w:val="FF0000"/>
              </w:rPr>
            </w:pPr>
          </w:p>
        </w:tc>
        <w:tc>
          <w:tcPr>
            <w:tcW w:w="2678"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40BB4D27" w14:textId="65E06760" w:rsidR="000A7A58" w:rsidRPr="00CD538E" w:rsidRDefault="00B62B92" w:rsidP="000A7A58">
            <w:pPr>
              <w:pStyle w:val="TableParagraph"/>
              <w:spacing w:line="288" w:lineRule="auto"/>
              <w:jc w:val="center"/>
              <w:rPr>
                <w:rFonts w:ascii="Arial" w:eastAsia="Source Sans Pro" w:hAnsi="Arial" w:cs="Arial"/>
                <w:color w:val="000000" w:themeColor="text1"/>
                <w:sz w:val="16"/>
                <w:szCs w:val="16"/>
              </w:rPr>
            </w:pPr>
            <w:r w:rsidRPr="00CD538E">
              <w:rPr>
                <w:rFonts w:ascii="Arial" w:eastAsia="Source Sans Pro" w:hAnsi="Arial" w:cs="Arial"/>
                <w:b/>
                <w:bCs/>
                <w:color w:val="000000" w:themeColor="text1"/>
                <w:sz w:val="16"/>
                <w:szCs w:val="16"/>
              </w:rPr>
              <w:t>With-Profits</w:t>
            </w:r>
            <w:r w:rsidR="006E33CC" w:rsidRPr="00CD538E">
              <w:rPr>
                <w:rFonts w:ascii="Arial" w:eastAsia="Source Sans Pro" w:hAnsi="Arial" w:cs="Arial"/>
                <w:b/>
                <w:bCs/>
                <w:color w:val="000000" w:themeColor="text1"/>
                <w:sz w:val="16"/>
                <w:szCs w:val="16"/>
              </w:rPr>
              <w:t xml:space="preserve"> fund</w:t>
            </w:r>
            <w:r w:rsidR="00C32EDC">
              <w:rPr>
                <w:rFonts w:ascii="Arial" w:eastAsia="Source Sans Pro" w:hAnsi="Arial" w:cs="Arial"/>
                <w:b/>
                <w:bCs/>
                <w:color w:val="000000" w:themeColor="text1"/>
                <w:sz w:val="16"/>
                <w:szCs w:val="16"/>
              </w:rPr>
              <w:t xml:space="preserve"> (CGNU)</w:t>
            </w:r>
          </w:p>
        </w:tc>
        <w:tc>
          <w:tcPr>
            <w:tcW w:w="2678"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1AE2EC59" w14:textId="77777777" w:rsidR="00956AB7" w:rsidRPr="00381AA3" w:rsidRDefault="00956AB7" w:rsidP="000A7A58">
            <w:pPr>
              <w:pStyle w:val="TableParagraph"/>
              <w:jc w:val="center"/>
              <w:rPr>
                <w:rFonts w:ascii="Arial" w:hAnsi="Arial" w:cs="Arial"/>
                <w:b/>
                <w:color w:val="000000" w:themeColor="text1"/>
                <w:spacing w:val="-6"/>
                <w:w w:val="105"/>
                <w:sz w:val="16"/>
                <w:szCs w:val="16"/>
              </w:rPr>
            </w:pPr>
            <w:r w:rsidRPr="00381AA3">
              <w:rPr>
                <w:rFonts w:ascii="Arial" w:hAnsi="Arial" w:cs="Arial"/>
                <w:b/>
                <w:color w:val="000000" w:themeColor="text1"/>
                <w:spacing w:val="-6"/>
                <w:w w:val="105"/>
                <w:sz w:val="16"/>
                <w:szCs w:val="16"/>
              </w:rPr>
              <w:t xml:space="preserve">BlackRock </w:t>
            </w:r>
            <w:r w:rsidR="000A7A58" w:rsidRPr="00381AA3">
              <w:rPr>
                <w:rFonts w:ascii="Arial" w:hAnsi="Arial" w:cs="Arial"/>
                <w:b/>
                <w:color w:val="000000" w:themeColor="text1"/>
                <w:spacing w:val="-6"/>
                <w:w w:val="105"/>
                <w:sz w:val="16"/>
                <w:szCs w:val="16"/>
              </w:rPr>
              <w:t xml:space="preserve">Pacific </w:t>
            </w:r>
            <w:r w:rsidR="004B36B0" w:rsidRPr="00381AA3">
              <w:rPr>
                <w:rFonts w:ascii="Arial" w:hAnsi="Arial" w:cs="Arial"/>
                <w:b/>
                <w:color w:val="000000" w:themeColor="text1"/>
                <w:spacing w:val="-6"/>
                <w:w w:val="105"/>
                <w:sz w:val="16"/>
                <w:szCs w:val="16"/>
              </w:rPr>
              <w:t xml:space="preserve">Rim </w:t>
            </w:r>
          </w:p>
          <w:p w14:paraId="45AD9794" w14:textId="2416D480" w:rsidR="000A7A58" w:rsidRPr="00381AA3" w:rsidRDefault="000A7A58" w:rsidP="000A7A58">
            <w:pPr>
              <w:pStyle w:val="TableParagraph"/>
              <w:jc w:val="center"/>
              <w:rPr>
                <w:rFonts w:ascii="Arial" w:eastAsia="Source Sans Pro" w:hAnsi="Arial" w:cs="Arial"/>
                <w:color w:val="000000" w:themeColor="text1"/>
                <w:sz w:val="16"/>
                <w:szCs w:val="16"/>
              </w:rPr>
            </w:pPr>
            <w:r w:rsidRPr="00381AA3">
              <w:rPr>
                <w:rFonts w:ascii="Arial" w:hAnsi="Arial" w:cs="Arial"/>
                <w:b/>
                <w:color w:val="000000" w:themeColor="text1"/>
                <w:spacing w:val="-6"/>
                <w:w w:val="105"/>
                <w:sz w:val="16"/>
                <w:szCs w:val="16"/>
              </w:rPr>
              <w:t>Equity</w:t>
            </w:r>
            <w:r w:rsidR="006E33CC" w:rsidRPr="00381AA3">
              <w:rPr>
                <w:rFonts w:ascii="Arial" w:hAnsi="Arial" w:cs="Arial"/>
                <w:b/>
                <w:color w:val="000000" w:themeColor="text1"/>
                <w:spacing w:val="-6"/>
                <w:w w:val="105"/>
                <w:sz w:val="16"/>
                <w:szCs w:val="16"/>
              </w:rPr>
              <w:t xml:space="preserve"> </w:t>
            </w:r>
            <w:r w:rsidR="008A23BE" w:rsidRPr="00381AA3">
              <w:rPr>
                <w:rFonts w:ascii="Arial" w:hAnsi="Arial" w:cs="Arial"/>
                <w:b/>
                <w:color w:val="000000" w:themeColor="text1"/>
                <w:spacing w:val="-6"/>
                <w:w w:val="105"/>
                <w:sz w:val="16"/>
                <w:szCs w:val="16"/>
              </w:rPr>
              <w:t xml:space="preserve">Index </w:t>
            </w:r>
            <w:r w:rsidR="006E33CC" w:rsidRPr="00381AA3">
              <w:rPr>
                <w:rFonts w:ascii="Arial" w:hAnsi="Arial" w:cs="Arial"/>
                <w:b/>
                <w:color w:val="000000" w:themeColor="text1"/>
                <w:spacing w:val="-6"/>
                <w:w w:val="105"/>
                <w:sz w:val="16"/>
                <w:szCs w:val="16"/>
              </w:rPr>
              <w:t>fund</w:t>
            </w:r>
          </w:p>
        </w:tc>
        <w:tc>
          <w:tcPr>
            <w:tcW w:w="2678"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31941BA3" w14:textId="4D17A40A" w:rsidR="000A7A58" w:rsidRPr="00C32EDC" w:rsidRDefault="008335EF" w:rsidP="000A7A58">
            <w:pPr>
              <w:pStyle w:val="TableParagraph"/>
              <w:spacing w:line="288" w:lineRule="auto"/>
              <w:jc w:val="center"/>
              <w:rPr>
                <w:rFonts w:ascii="Arial" w:hAnsi="Arial" w:cs="Arial"/>
                <w:b/>
                <w:color w:val="000000" w:themeColor="text1"/>
                <w:spacing w:val="-1"/>
                <w:w w:val="105"/>
                <w:sz w:val="16"/>
                <w:szCs w:val="16"/>
              </w:rPr>
            </w:pPr>
            <w:r w:rsidRPr="00C32EDC">
              <w:rPr>
                <w:rFonts w:ascii="Arial" w:hAnsi="Arial" w:cs="Arial"/>
                <w:b/>
                <w:color w:val="000000" w:themeColor="text1"/>
                <w:w w:val="105"/>
                <w:sz w:val="16"/>
                <w:szCs w:val="16"/>
              </w:rPr>
              <w:t>My Future Focus Consolidation</w:t>
            </w:r>
            <w:r w:rsidR="006E33CC" w:rsidRPr="00C32EDC">
              <w:rPr>
                <w:rFonts w:ascii="Arial" w:hAnsi="Arial" w:cs="Arial"/>
                <w:b/>
                <w:color w:val="000000" w:themeColor="text1"/>
                <w:w w:val="105"/>
                <w:sz w:val="16"/>
                <w:szCs w:val="16"/>
              </w:rPr>
              <w:t xml:space="preserve"> fund</w:t>
            </w:r>
          </w:p>
        </w:tc>
      </w:tr>
      <w:tr w:rsidR="00A51A9C" w:rsidRPr="00A51A9C" w14:paraId="02DD9EEA" w14:textId="77777777" w:rsidTr="008765C2">
        <w:trPr>
          <w:trHeight w:hRule="exact" w:val="852"/>
        </w:trPr>
        <w:tc>
          <w:tcPr>
            <w:tcW w:w="936" w:type="dxa"/>
            <w:vMerge/>
            <w:tcBorders>
              <w:left w:val="single" w:sz="8" w:space="0" w:color="000000"/>
              <w:right w:val="single" w:sz="8" w:space="0" w:color="000000"/>
            </w:tcBorders>
            <w:shd w:val="clear" w:color="auto" w:fill="F2F2F2" w:themeFill="background1" w:themeFillShade="F2"/>
          </w:tcPr>
          <w:p w14:paraId="4122A2F8" w14:textId="77777777" w:rsidR="000A7A58" w:rsidRPr="00A51A9C" w:rsidRDefault="000A7A58" w:rsidP="006419ED">
            <w:pPr>
              <w:rPr>
                <w:rFonts w:ascii="Arial" w:hAnsi="Arial" w:cs="Arial"/>
                <w:color w:val="FF0000"/>
              </w:rPr>
            </w:pPr>
          </w:p>
        </w:tc>
        <w:tc>
          <w:tcPr>
            <w:tcW w:w="2678" w:type="dxa"/>
            <w:gridSpan w:val="2"/>
            <w:tcBorders>
              <w:top w:val="single" w:sz="8" w:space="0" w:color="000000"/>
              <w:left w:val="single" w:sz="8" w:space="0" w:color="000000"/>
              <w:bottom w:val="single" w:sz="8" w:space="0" w:color="000000"/>
              <w:right w:val="single" w:sz="8" w:space="0" w:color="000000"/>
            </w:tcBorders>
            <w:shd w:val="clear" w:color="auto" w:fill="F1F1F1"/>
          </w:tcPr>
          <w:p w14:paraId="0D33469A" w14:textId="3C17198F" w:rsidR="008765C2" w:rsidRPr="00C216FC" w:rsidRDefault="000A7A58" w:rsidP="006419ED">
            <w:pPr>
              <w:pStyle w:val="TableParagraph"/>
              <w:spacing w:before="45"/>
              <w:jc w:val="center"/>
              <w:rPr>
                <w:rFonts w:ascii="Arial" w:hAnsi="Arial" w:cs="Arial"/>
                <w:b/>
                <w:color w:val="000000" w:themeColor="text1"/>
                <w:spacing w:val="-3"/>
                <w:w w:val="105"/>
                <w:sz w:val="16"/>
                <w:szCs w:val="16"/>
              </w:rPr>
            </w:pPr>
            <w:r w:rsidRPr="00C216FC">
              <w:rPr>
                <w:rFonts w:ascii="Arial" w:hAnsi="Arial" w:cs="Arial"/>
                <w:b/>
                <w:color w:val="000000" w:themeColor="text1"/>
                <w:spacing w:val="-1"/>
                <w:w w:val="105"/>
                <w:sz w:val="16"/>
                <w:szCs w:val="16"/>
              </w:rPr>
              <w:t>Assumed</w:t>
            </w:r>
            <w:r w:rsidRPr="00C216FC">
              <w:rPr>
                <w:rFonts w:ascii="Arial" w:hAnsi="Arial" w:cs="Arial"/>
                <w:b/>
                <w:color w:val="000000" w:themeColor="text1"/>
                <w:spacing w:val="-4"/>
                <w:w w:val="105"/>
                <w:sz w:val="16"/>
                <w:szCs w:val="16"/>
              </w:rPr>
              <w:t xml:space="preserve"> </w:t>
            </w:r>
            <w:r w:rsidRPr="00C216FC">
              <w:rPr>
                <w:rFonts w:ascii="Arial" w:hAnsi="Arial" w:cs="Arial"/>
                <w:b/>
                <w:color w:val="000000" w:themeColor="text1"/>
                <w:spacing w:val="-1"/>
                <w:w w:val="105"/>
                <w:sz w:val="16"/>
                <w:szCs w:val="16"/>
              </w:rPr>
              <w:t>growth</w:t>
            </w:r>
            <w:r w:rsidRPr="00C216FC">
              <w:rPr>
                <w:rFonts w:ascii="Arial" w:hAnsi="Arial" w:cs="Arial"/>
                <w:b/>
                <w:color w:val="000000" w:themeColor="text1"/>
                <w:spacing w:val="-4"/>
                <w:w w:val="105"/>
                <w:sz w:val="16"/>
                <w:szCs w:val="16"/>
              </w:rPr>
              <w:t xml:space="preserve"> </w:t>
            </w:r>
            <w:r w:rsidRPr="00C216FC">
              <w:rPr>
                <w:rFonts w:ascii="Arial" w:hAnsi="Arial" w:cs="Arial"/>
                <w:b/>
                <w:color w:val="000000" w:themeColor="text1"/>
                <w:spacing w:val="-1"/>
                <w:w w:val="105"/>
                <w:sz w:val="16"/>
                <w:szCs w:val="16"/>
              </w:rPr>
              <w:t>rate</w:t>
            </w:r>
          </w:p>
          <w:p w14:paraId="5D3C488F" w14:textId="7015BDBC" w:rsidR="008765C2" w:rsidRPr="00C216FC" w:rsidRDefault="008765C2" w:rsidP="006419ED">
            <w:pPr>
              <w:pStyle w:val="TableParagraph"/>
              <w:spacing w:before="45"/>
              <w:jc w:val="center"/>
              <w:rPr>
                <w:rFonts w:ascii="Arial" w:hAnsi="Arial" w:cs="Arial"/>
                <w:b/>
                <w:color w:val="000000" w:themeColor="text1"/>
                <w:spacing w:val="-3"/>
                <w:w w:val="105"/>
                <w:sz w:val="16"/>
                <w:szCs w:val="16"/>
              </w:rPr>
            </w:pPr>
            <w:r w:rsidRPr="00C216FC">
              <w:rPr>
                <w:rFonts w:ascii="Arial" w:hAnsi="Arial" w:cs="Arial"/>
                <w:b/>
                <w:color w:val="000000" w:themeColor="text1"/>
                <w:spacing w:val="-3"/>
                <w:w w:val="105"/>
                <w:sz w:val="16"/>
                <w:szCs w:val="16"/>
              </w:rPr>
              <w:t>before inflation</w:t>
            </w:r>
          </w:p>
          <w:p w14:paraId="68D2DFBB" w14:textId="6CA7AFFF" w:rsidR="000A7A58" w:rsidRPr="00C216FC" w:rsidRDefault="00CD538E" w:rsidP="006419ED">
            <w:pPr>
              <w:pStyle w:val="TableParagraph"/>
              <w:spacing w:before="45"/>
              <w:jc w:val="center"/>
              <w:rPr>
                <w:rFonts w:ascii="Arial" w:eastAsia="Source Sans Pro" w:hAnsi="Arial" w:cs="Arial"/>
                <w:color w:val="000000" w:themeColor="text1"/>
                <w:sz w:val="16"/>
                <w:szCs w:val="16"/>
              </w:rPr>
            </w:pPr>
            <w:r w:rsidRPr="00C216FC">
              <w:rPr>
                <w:rFonts w:ascii="Arial" w:hAnsi="Arial" w:cs="Arial"/>
                <w:bCs/>
                <w:color w:val="000000" w:themeColor="text1"/>
                <w:spacing w:val="-1"/>
                <w:w w:val="105"/>
                <w:sz w:val="16"/>
                <w:szCs w:val="16"/>
              </w:rPr>
              <w:t>4.6</w:t>
            </w:r>
            <w:r w:rsidR="000A7A58" w:rsidRPr="00C216FC">
              <w:rPr>
                <w:rFonts w:ascii="Arial" w:hAnsi="Arial" w:cs="Arial"/>
                <w:b/>
                <w:color w:val="000000" w:themeColor="text1"/>
                <w:spacing w:val="-1"/>
                <w:w w:val="105"/>
                <w:sz w:val="16"/>
                <w:szCs w:val="16"/>
              </w:rPr>
              <w:t>%</w:t>
            </w:r>
            <w:r w:rsidR="007D5155" w:rsidRPr="00C216FC">
              <w:rPr>
                <w:rFonts w:ascii="Arial" w:hAnsi="Arial" w:cs="Arial"/>
                <w:b/>
                <w:color w:val="000000" w:themeColor="text1"/>
                <w:spacing w:val="-1"/>
                <w:w w:val="105"/>
                <w:sz w:val="16"/>
                <w:szCs w:val="16"/>
              </w:rPr>
              <w:t xml:space="preserve"> pa</w:t>
            </w:r>
          </w:p>
        </w:tc>
        <w:tc>
          <w:tcPr>
            <w:tcW w:w="2678" w:type="dxa"/>
            <w:gridSpan w:val="2"/>
            <w:tcBorders>
              <w:top w:val="single" w:sz="8" w:space="0" w:color="000000"/>
              <w:left w:val="single" w:sz="8" w:space="0" w:color="000000"/>
              <w:bottom w:val="single" w:sz="8" w:space="0" w:color="000000"/>
              <w:right w:val="single" w:sz="8" w:space="0" w:color="000000"/>
            </w:tcBorders>
            <w:shd w:val="clear" w:color="auto" w:fill="F1F1F1"/>
          </w:tcPr>
          <w:p w14:paraId="7CC92906" w14:textId="77777777" w:rsidR="006973A2" w:rsidRPr="00381AA3" w:rsidRDefault="000A7A58" w:rsidP="006419ED">
            <w:pPr>
              <w:pStyle w:val="TableParagraph"/>
              <w:spacing w:before="45"/>
              <w:jc w:val="center"/>
              <w:rPr>
                <w:rFonts w:ascii="Arial" w:hAnsi="Arial" w:cs="Arial"/>
                <w:b/>
                <w:color w:val="000000" w:themeColor="text1"/>
                <w:spacing w:val="-3"/>
                <w:w w:val="105"/>
                <w:sz w:val="16"/>
                <w:szCs w:val="16"/>
              </w:rPr>
            </w:pPr>
            <w:r w:rsidRPr="00381AA3">
              <w:rPr>
                <w:rFonts w:ascii="Arial" w:hAnsi="Arial" w:cs="Arial"/>
                <w:b/>
                <w:color w:val="000000" w:themeColor="text1"/>
                <w:spacing w:val="-1"/>
                <w:w w:val="105"/>
                <w:sz w:val="16"/>
                <w:szCs w:val="16"/>
              </w:rPr>
              <w:t>Assumed</w:t>
            </w:r>
            <w:r w:rsidRPr="00381AA3">
              <w:rPr>
                <w:rFonts w:ascii="Arial" w:hAnsi="Arial" w:cs="Arial"/>
                <w:b/>
                <w:color w:val="000000" w:themeColor="text1"/>
                <w:spacing w:val="-4"/>
                <w:w w:val="105"/>
                <w:sz w:val="16"/>
                <w:szCs w:val="16"/>
              </w:rPr>
              <w:t xml:space="preserve"> </w:t>
            </w:r>
            <w:r w:rsidRPr="00381AA3">
              <w:rPr>
                <w:rFonts w:ascii="Arial" w:hAnsi="Arial" w:cs="Arial"/>
                <w:b/>
                <w:color w:val="000000" w:themeColor="text1"/>
                <w:spacing w:val="-1"/>
                <w:w w:val="105"/>
                <w:sz w:val="16"/>
                <w:szCs w:val="16"/>
              </w:rPr>
              <w:t>growth</w:t>
            </w:r>
            <w:r w:rsidRPr="00381AA3">
              <w:rPr>
                <w:rFonts w:ascii="Arial" w:hAnsi="Arial" w:cs="Arial"/>
                <w:b/>
                <w:color w:val="000000" w:themeColor="text1"/>
                <w:spacing w:val="-5"/>
                <w:w w:val="105"/>
                <w:sz w:val="16"/>
                <w:szCs w:val="16"/>
              </w:rPr>
              <w:t xml:space="preserve"> </w:t>
            </w:r>
            <w:r w:rsidRPr="00381AA3">
              <w:rPr>
                <w:rFonts w:ascii="Arial" w:hAnsi="Arial" w:cs="Arial"/>
                <w:b/>
                <w:color w:val="000000" w:themeColor="text1"/>
                <w:spacing w:val="-1"/>
                <w:w w:val="105"/>
                <w:sz w:val="16"/>
                <w:szCs w:val="16"/>
              </w:rPr>
              <w:t>rate</w:t>
            </w:r>
          </w:p>
          <w:p w14:paraId="05679F5F" w14:textId="59A3D257" w:rsidR="006973A2" w:rsidRPr="00381AA3" w:rsidRDefault="006973A2" w:rsidP="006419ED">
            <w:pPr>
              <w:pStyle w:val="TableParagraph"/>
              <w:spacing w:before="45"/>
              <w:jc w:val="center"/>
              <w:rPr>
                <w:rFonts w:ascii="Arial" w:hAnsi="Arial" w:cs="Arial"/>
                <w:b/>
                <w:color w:val="000000" w:themeColor="text1"/>
                <w:spacing w:val="-3"/>
                <w:w w:val="105"/>
                <w:sz w:val="16"/>
                <w:szCs w:val="16"/>
              </w:rPr>
            </w:pPr>
            <w:r w:rsidRPr="00381AA3">
              <w:rPr>
                <w:rFonts w:ascii="Arial" w:hAnsi="Arial" w:cs="Arial"/>
                <w:b/>
                <w:color w:val="000000" w:themeColor="text1"/>
                <w:spacing w:val="-3"/>
                <w:w w:val="105"/>
                <w:sz w:val="16"/>
                <w:szCs w:val="16"/>
              </w:rPr>
              <w:t>before inflation</w:t>
            </w:r>
          </w:p>
          <w:p w14:paraId="7CDDE864" w14:textId="71594E5B" w:rsidR="000A7A58" w:rsidRPr="00381AA3" w:rsidRDefault="00381AA3" w:rsidP="006419ED">
            <w:pPr>
              <w:pStyle w:val="TableParagraph"/>
              <w:spacing w:before="45"/>
              <w:jc w:val="center"/>
              <w:rPr>
                <w:rFonts w:ascii="Arial" w:eastAsia="Source Sans Pro" w:hAnsi="Arial" w:cs="Arial"/>
                <w:color w:val="000000" w:themeColor="text1"/>
                <w:sz w:val="16"/>
                <w:szCs w:val="16"/>
              </w:rPr>
            </w:pPr>
            <w:r w:rsidRPr="00381AA3">
              <w:rPr>
                <w:rFonts w:ascii="Arial" w:hAnsi="Arial" w:cs="Arial"/>
                <w:b/>
                <w:color w:val="000000" w:themeColor="text1"/>
                <w:spacing w:val="-1"/>
                <w:w w:val="105"/>
                <w:sz w:val="16"/>
                <w:szCs w:val="16"/>
              </w:rPr>
              <w:t>5.0</w:t>
            </w:r>
            <w:r w:rsidR="000A7A58" w:rsidRPr="00381AA3">
              <w:rPr>
                <w:rFonts w:ascii="Arial" w:hAnsi="Arial" w:cs="Arial"/>
                <w:b/>
                <w:color w:val="000000" w:themeColor="text1"/>
                <w:spacing w:val="-1"/>
                <w:w w:val="105"/>
                <w:sz w:val="16"/>
                <w:szCs w:val="16"/>
              </w:rPr>
              <w:t>%</w:t>
            </w:r>
            <w:r w:rsidR="007D5155" w:rsidRPr="00381AA3">
              <w:rPr>
                <w:rFonts w:ascii="Arial" w:hAnsi="Arial" w:cs="Arial"/>
                <w:b/>
                <w:color w:val="000000" w:themeColor="text1"/>
                <w:spacing w:val="-1"/>
                <w:w w:val="105"/>
                <w:sz w:val="16"/>
                <w:szCs w:val="16"/>
              </w:rPr>
              <w:t xml:space="preserve"> pa</w:t>
            </w:r>
          </w:p>
        </w:tc>
        <w:tc>
          <w:tcPr>
            <w:tcW w:w="2678" w:type="dxa"/>
            <w:gridSpan w:val="2"/>
            <w:tcBorders>
              <w:top w:val="single" w:sz="8" w:space="0" w:color="000000"/>
              <w:left w:val="single" w:sz="8" w:space="0" w:color="000000"/>
              <w:bottom w:val="single" w:sz="8" w:space="0" w:color="000000"/>
              <w:right w:val="single" w:sz="8" w:space="0" w:color="000000"/>
            </w:tcBorders>
            <w:shd w:val="clear" w:color="auto" w:fill="F1F1F1"/>
          </w:tcPr>
          <w:p w14:paraId="3A726F0A" w14:textId="77777777" w:rsidR="006973A2" w:rsidRPr="00C32EDC" w:rsidRDefault="000A7A58" w:rsidP="006419ED">
            <w:pPr>
              <w:pStyle w:val="TableParagraph"/>
              <w:spacing w:before="45"/>
              <w:jc w:val="center"/>
              <w:rPr>
                <w:rFonts w:ascii="Arial" w:hAnsi="Arial" w:cs="Arial"/>
                <w:b/>
                <w:color w:val="000000" w:themeColor="text1"/>
                <w:spacing w:val="-3"/>
                <w:w w:val="105"/>
                <w:sz w:val="16"/>
                <w:szCs w:val="16"/>
              </w:rPr>
            </w:pPr>
            <w:r w:rsidRPr="00C32EDC">
              <w:rPr>
                <w:rFonts w:ascii="Arial" w:hAnsi="Arial" w:cs="Arial"/>
                <w:b/>
                <w:color w:val="000000" w:themeColor="text1"/>
                <w:spacing w:val="-1"/>
                <w:w w:val="105"/>
                <w:sz w:val="16"/>
                <w:szCs w:val="16"/>
              </w:rPr>
              <w:t>Assumed</w:t>
            </w:r>
            <w:r w:rsidRPr="00C32EDC">
              <w:rPr>
                <w:rFonts w:ascii="Arial" w:hAnsi="Arial" w:cs="Arial"/>
                <w:b/>
                <w:color w:val="000000" w:themeColor="text1"/>
                <w:spacing w:val="-4"/>
                <w:w w:val="105"/>
                <w:sz w:val="16"/>
                <w:szCs w:val="16"/>
              </w:rPr>
              <w:t xml:space="preserve"> </w:t>
            </w:r>
            <w:r w:rsidRPr="00C32EDC">
              <w:rPr>
                <w:rFonts w:ascii="Arial" w:hAnsi="Arial" w:cs="Arial"/>
                <w:b/>
                <w:color w:val="000000" w:themeColor="text1"/>
                <w:spacing w:val="-1"/>
                <w:w w:val="105"/>
                <w:sz w:val="16"/>
                <w:szCs w:val="16"/>
              </w:rPr>
              <w:t>growth</w:t>
            </w:r>
            <w:r w:rsidRPr="00C32EDC">
              <w:rPr>
                <w:rFonts w:ascii="Arial" w:hAnsi="Arial" w:cs="Arial"/>
                <w:b/>
                <w:color w:val="000000" w:themeColor="text1"/>
                <w:spacing w:val="-4"/>
                <w:w w:val="105"/>
                <w:sz w:val="16"/>
                <w:szCs w:val="16"/>
              </w:rPr>
              <w:t xml:space="preserve"> </w:t>
            </w:r>
            <w:r w:rsidRPr="00C32EDC">
              <w:rPr>
                <w:rFonts w:ascii="Arial" w:hAnsi="Arial" w:cs="Arial"/>
                <w:b/>
                <w:color w:val="000000" w:themeColor="text1"/>
                <w:spacing w:val="-1"/>
                <w:w w:val="105"/>
                <w:sz w:val="16"/>
                <w:szCs w:val="16"/>
              </w:rPr>
              <w:t>rate</w:t>
            </w:r>
          </w:p>
          <w:p w14:paraId="53D83E36" w14:textId="119C7648" w:rsidR="006973A2" w:rsidRPr="00C32EDC" w:rsidRDefault="006973A2" w:rsidP="006419ED">
            <w:pPr>
              <w:pStyle w:val="TableParagraph"/>
              <w:spacing w:before="45"/>
              <w:jc w:val="center"/>
              <w:rPr>
                <w:rFonts w:ascii="Arial" w:hAnsi="Arial" w:cs="Arial"/>
                <w:b/>
                <w:color w:val="000000" w:themeColor="text1"/>
                <w:spacing w:val="-3"/>
                <w:w w:val="105"/>
                <w:sz w:val="16"/>
                <w:szCs w:val="16"/>
              </w:rPr>
            </w:pPr>
            <w:r w:rsidRPr="00C32EDC">
              <w:rPr>
                <w:rFonts w:ascii="Arial" w:hAnsi="Arial" w:cs="Arial"/>
                <w:b/>
                <w:color w:val="000000" w:themeColor="text1"/>
                <w:spacing w:val="-3"/>
                <w:w w:val="105"/>
                <w:sz w:val="16"/>
                <w:szCs w:val="16"/>
              </w:rPr>
              <w:t>before inflation</w:t>
            </w:r>
          </w:p>
          <w:p w14:paraId="68292DE6" w14:textId="0982EB87" w:rsidR="000A7A58" w:rsidRPr="00C32EDC" w:rsidRDefault="0092082A" w:rsidP="006419ED">
            <w:pPr>
              <w:pStyle w:val="TableParagraph"/>
              <w:spacing w:before="45"/>
              <w:jc w:val="center"/>
              <w:rPr>
                <w:rFonts w:ascii="Arial" w:eastAsia="Source Sans Pro" w:hAnsi="Arial" w:cs="Arial"/>
                <w:color w:val="000000" w:themeColor="text1"/>
                <w:sz w:val="16"/>
                <w:szCs w:val="16"/>
              </w:rPr>
            </w:pPr>
            <w:r w:rsidRPr="00C32EDC">
              <w:rPr>
                <w:rFonts w:ascii="Arial" w:hAnsi="Arial" w:cs="Arial"/>
                <w:b/>
                <w:color w:val="000000" w:themeColor="text1"/>
                <w:spacing w:val="-1"/>
                <w:w w:val="105"/>
                <w:sz w:val="16"/>
                <w:szCs w:val="16"/>
              </w:rPr>
              <w:t>4.</w:t>
            </w:r>
            <w:r w:rsidR="00C32EDC" w:rsidRPr="00C32EDC">
              <w:rPr>
                <w:rFonts w:ascii="Arial" w:hAnsi="Arial" w:cs="Arial"/>
                <w:b/>
                <w:color w:val="000000" w:themeColor="text1"/>
                <w:spacing w:val="-1"/>
                <w:w w:val="105"/>
                <w:sz w:val="16"/>
                <w:szCs w:val="16"/>
              </w:rPr>
              <w:t>3</w:t>
            </w:r>
            <w:r w:rsidR="000A7A58" w:rsidRPr="00C32EDC">
              <w:rPr>
                <w:rFonts w:ascii="Arial" w:hAnsi="Arial" w:cs="Arial"/>
                <w:b/>
                <w:color w:val="000000" w:themeColor="text1"/>
                <w:spacing w:val="-1"/>
                <w:w w:val="105"/>
                <w:sz w:val="16"/>
                <w:szCs w:val="16"/>
              </w:rPr>
              <w:t>%</w:t>
            </w:r>
            <w:r w:rsidR="007D5155" w:rsidRPr="00C32EDC">
              <w:rPr>
                <w:rFonts w:ascii="Arial" w:hAnsi="Arial" w:cs="Arial"/>
                <w:b/>
                <w:color w:val="000000" w:themeColor="text1"/>
                <w:spacing w:val="-1"/>
                <w:w w:val="105"/>
                <w:sz w:val="16"/>
                <w:szCs w:val="16"/>
              </w:rPr>
              <w:t xml:space="preserve"> pa</w:t>
            </w:r>
          </w:p>
        </w:tc>
      </w:tr>
      <w:tr w:rsidR="00A51A9C" w:rsidRPr="00A51A9C" w14:paraId="0D04AC4F" w14:textId="77777777" w:rsidTr="00B62B92">
        <w:trPr>
          <w:trHeight w:hRule="exact" w:val="569"/>
        </w:trPr>
        <w:tc>
          <w:tcPr>
            <w:tcW w:w="936" w:type="dxa"/>
            <w:vMerge/>
            <w:tcBorders>
              <w:left w:val="single" w:sz="8" w:space="0" w:color="000000"/>
              <w:bottom w:val="single" w:sz="8" w:space="0" w:color="000000"/>
              <w:right w:val="single" w:sz="8" w:space="0" w:color="000000"/>
            </w:tcBorders>
            <w:shd w:val="clear" w:color="auto" w:fill="F2F2F2" w:themeFill="background1" w:themeFillShade="F2"/>
          </w:tcPr>
          <w:p w14:paraId="0B263880" w14:textId="77777777" w:rsidR="000A7A58" w:rsidRPr="00A51A9C" w:rsidRDefault="000A7A58" w:rsidP="006419ED">
            <w:pPr>
              <w:rPr>
                <w:rFonts w:ascii="Arial" w:hAnsi="Arial" w:cs="Arial"/>
                <w:color w:val="FF0000"/>
              </w:rPr>
            </w:pPr>
          </w:p>
        </w:tc>
        <w:tc>
          <w:tcPr>
            <w:tcW w:w="2678" w:type="dxa"/>
            <w:gridSpan w:val="2"/>
            <w:tcBorders>
              <w:top w:val="single" w:sz="8" w:space="0" w:color="000000"/>
              <w:left w:val="single" w:sz="8" w:space="0" w:color="000000"/>
              <w:bottom w:val="single" w:sz="8" w:space="0" w:color="000000"/>
              <w:right w:val="single" w:sz="8" w:space="0" w:color="000000"/>
            </w:tcBorders>
            <w:shd w:val="clear" w:color="auto" w:fill="F1F1F1"/>
          </w:tcPr>
          <w:p w14:paraId="54523089" w14:textId="438A5025" w:rsidR="000A7A58" w:rsidRPr="00C216FC" w:rsidRDefault="000A7A58" w:rsidP="006419ED">
            <w:pPr>
              <w:pStyle w:val="TableParagraph"/>
              <w:spacing w:before="45"/>
              <w:jc w:val="center"/>
              <w:rPr>
                <w:rFonts w:ascii="Arial" w:eastAsia="Source Sans Pro" w:hAnsi="Arial" w:cs="Arial"/>
                <w:color w:val="000000" w:themeColor="text1"/>
                <w:sz w:val="16"/>
                <w:szCs w:val="16"/>
              </w:rPr>
            </w:pPr>
            <w:r w:rsidRPr="00C216FC">
              <w:rPr>
                <w:rFonts w:ascii="Arial" w:hAnsi="Arial" w:cs="Arial"/>
                <w:b/>
                <w:color w:val="000000" w:themeColor="text1"/>
                <w:spacing w:val="-1"/>
                <w:w w:val="105"/>
                <w:sz w:val="16"/>
                <w:szCs w:val="16"/>
              </w:rPr>
              <w:t>Assumed</w:t>
            </w:r>
            <w:r w:rsidRPr="00C216FC">
              <w:rPr>
                <w:rFonts w:ascii="Arial" w:hAnsi="Arial" w:cs="Arial"/>
                <w:b/>
                <w:color w:val="000000" w:themeColor="text1"/>
                <w:spacing w:val="-3"/>
                <w:w w:val="105"/>
                <w:sz w:val="16"/>
                <w:szCs w:val="16"/>
              </w:rPr>
              <w:t xml:space="preserve"> </w:t>
            </w:r>
            <w:r w:rsidRPr="00C216FC">
              <w:rPr>
                <w:rFonts w:ascii="Arial" w:hAnsi="Arial" w:cs="Arial"/>
                <w:b/>
                <w:color w:val="000000" w:themeColor="text1"/>
                <w:spacing w:val="-1"/>
                <w:w w:val="105"/>
                <w:sz w:val="16"/>
                <w:szCs w:val="16"/>
              </w:rPr>
              <w:t>costs</w:t>
            </w:r>
            <w:r w:rsidRPr="00C216FC">
              <w:rPr>
                <w:rFonts w:ascii="Arial" w:hAnsi="Arial" w:cs="Arial"/>
                <w:b/>
                <w:color w:val="000000" w:themeColor="text1"/>
                <w:spacing w:val="-3"/>
                <w:w w:val="105"/>
                <w:sz w:val="16"/>
                <w:szCs w:val="16"/>
              </w:rPr>
              <w:t xml:space="preserve"> </w:t>
            </w:r>
            <w:r w:rsidRPr="00C216FC">
              <w:rPr>
                <w:rFonts w:ascii="Arial" w:hAnsi="Arial" w:cs="Arial"/>
                <w:b/>
                <w:color w:val="000000" w:themeColor="text1"/>
                <w:spacing w:val="-1"/>
                <w:w w:val="105"/>
                <w:sz w:val="16"/>
                <w:szCs w:val="16"/>
              </w:rPr>
              <w:t>and</w:t>
            </w:r>
            <w:r w:rsidRPr="00C216FC">
              <w:rPr>
                <w:rFonts w:ascii="Arial" w:hAnsi="Arial" w:cs="Arial"/>
                <w:b/>
                <w:color w:val="000000" w:themeColor="text1"/>
                <w:spacing w:val="-2"/>
                <w:w w:val="105"/>
                <w:sz w:val="16"/>
                <w:szCs w:val="16"/>
              </w:rPr>
              <w:t xml:space="preserve"> </w:t>
            </w:r>
            <w:r w:rsidRPr="00C216FC">
              <w:rPr>
                <w:rFonts w:ascii="Arial" w:hAnsi="Arial" w:cs="Arial"/>
                <w:b/>
                <w:color w:val="000000" w:themeColor="text1"/>
                <w:spacing w:val="-1"/>
                <w:w w:val="105"/>
                <w:sz w:val="16"/>
                <w:szCs w:val="16"/>
              </w:rPr>
              <w:t>charges</w:t>
            </w:r>
            <w:r w:rsidRPr="00C216FC">
              <w:rPr>
                <w:rFonts w:ascii="Arial" w:hAnsi="Arial" w:cs="Arial"/>
                <w:b/>
                <w:color w:val="000000" w:themeColor="text1"/>
                <w:spacing w:val="18"/>
                <w:w w:val="105"/>
                <w:sz w:val="16"/>
                <w:szCs w:val="16"/>
              </w:rPr>
              <w:t xml:space="preserve"> </w:t>
            </w:r>
            <w:r w:rsidR="00B3169E" w:rsidRPr="00C216FC">
              <w:rPr>
                <w:rFonts w:ascii="Arial" w:hAnsi="Arial" w:cs="Arial"/>
                <w:b/>
                <w:color w:val="000000" w:themeColor="text1"/>
                <w:spacing w:val="-1"/>
                <w:w w:val="105"/>
                <w:sz w:val="16"/>
                <w:szCs w:val="16"/>
              </w:rPr>
              <w:t>0.6</w:t>
            </w:r>
            <w:r w:rsidR="00CD538E" w:rsidRPr="00C216FC">
              <w:rPr>
                <w:rFonts w:ascii="Arial" w:hAnsi="Arial" w:cs="Arial"/>
                <w:b/>
                <w:color w:val="000000" w:themeColor="text1"/>
                <w:spacing w:val="-1"/>
                <w:w w:val="105"/>
                <w:sz w:val="16"/>
                <w:szCs w:val="16"/>
              </w:rPr>
              <w:t>3</w:t>
            </w:r>
            <w:r w:rsidRPr="00C216FC">
              <w:rPr>
                <w:rFonts w:ascii="Arial" w:hAnsi="Arial" w:cs="Arial"/>
                <w:b/>
                <w:color w:val="000000" w:themeColor="text1"/>
                <w:spacing w:val="-1"/>
                <w:w w:val="105"/>
                <w:sz w:val="16"/>
                <w:szCs w:val="16"/>
              </w:rPr>
              <w:t>%</w:t>
            </w:r>
            <w:r w:rsidR="007D5155" w:rsidRPr="00C216FC">
              <w:rPr>
                <w:rFonts w:ascii="Arial" w:hAnsi="Arial" w:cs="Arial"/>
                <w:b/>
                <w:color w:val="000000" w:themeColor="text1"/>
                <w:spacing w:val="-1"/>
                <w:w w:val="105"/>
                <w:sz w:val="16"/>
                <w:szCs w:val="16"/>
              </w:rPr>
              <w:t xml:space="preserve"> pa</w:t>
            </w:r>
          </w:p>
        </w:tc>
        <w:tc>
          <w:tcPr>
            <w:tcW w:w="2678" w:type="dxa"/>
            <w:gridSpan w:val="2"/>
            <w:tcBorders>
              <w:top w:val="single" w:sz="8" w:space="0" w:color="000000"/>
              <w:left w:val="single" w:sz="8" w:space="0" w:color="000000"/>
              <w:bottom w:val="single" w:sz="8" w:space="0" w:color="000000"/>
              <w:right w:val="single" w:sz="8" w:space="0" w:color="000000"/>
            </w:tcBorders>
            <w:shd w:val="clear" w:color="auto" w:fill="F1F1F1"/>
          </w:tcPr>
          <w:p w14:paraId="701CE4C7" w14:textId="46690913" w:rsidR="000A7A58" w:rsidRPr="001427F1" w:rsidRDefault="000A7A58" w:rsidP="006419ED">
            <w:pPr>
              <w:pStyle w:val="TableParagraph"/>
              <w:spacing w:before="45"/>
              <w:jc w:val="center"/>
              <w:rPr>
                <w:rFonts w:ascii="Arial" w:eastAsia="Source Sans Pro" w:hAnsi="Arial" w:cs="Arial"/>
                <w:color w:val="FF0000"/>
                <w:sz w:val="16"/>
                <w:szCs w:val="16"/>
              </w:rPr>
            </w:pPr>
            <w:r w:rsidRPr="00381AA3">
              <w:rPr>
                <w:rFonts w:ascii="Arial" w:hAnsi="Arial" w:cs="Arial"/>
                <w:b/>
                <w:color w:val="000000" w:themeColor="text1"/>
                <w:spacing w:val="-1"/>
                <w:w w:val="105"/>
                <w:sz w:val="16"/>
                <w:szCs w:val="16"/>
              </w:rPr>
              <w:t>Assumed</w:t>
            </w:r>
            <w:r w:rsidRPr="00381AA3">
              <w:rPr>
                <w:rFonts w:ascii="Arial" w:hAnsi="Arial" w:cs="Arial"/>
                <w:b/>
                <w:color w:val="000000" w:themeColor="text1"/>
                <w:spacing w:val="-3"/>
                <w:w w:val="105"/>
                <w:sz w:val="16"/>
                <w:szCs w:val="16"/>
              </w:rPr>
              <w:t xml:space="preserve"> </w:t>
            </w:r>
            <w:r w:rsidRPr="00381AA3">
              <w:rPr>
                <w:rFonts w:ascii="Arial" w:hAnsi="Arial" w:cs="Arial"/>
                <w:b/>
                <w:color w:val="000000" w:themeColor="text1"/>
                <w:spacing w:val="-1"/>
                <w:w w:val="105"/>
                <w:sz w:val="16"/>
                <w:szCs w:val="16"/>
              </w:rPr>
              <w:t>costs</w:t>
            </w:r>
            <w:r w:rsidRPr="00381AA3">
              <w:rPr>
                <w:rFonts w:ascii="Arial" w:hAnsi="Arial" w:cs="Arial"/>
                <w:b/>
                <w:color w:val="000000" w:themeColor="text1"/>
                <w:spacing w:val="-3"/>
                <w:w w:val="105"/>
                <w:sz w:val="16"/>
                <w:szCs w:val="16"/>
              </w:rPr>
              <w:t xml:space="preserve"> </w:t>
            </w:r>
            <w:r w:rsidRPr="00381AA3">
              <w:rPr>
                <w:rFonts w:ascii="Arial" w:hAnsi="Arial" w:cs="Arial"/>
                <w:b/>
                <w:color w:val="000000" w:themeColor="text1"/>
                <w:spacing w:val="-1"/>
                <w:w w:val="105"/>
                <w:sz w:val="16"/>
                <w:szCs w:val="16"/>
              </w:rPr>
              <w:t>and</w:t>
            </w:r>
            <w:r w:rsidRPr="00381AA3">
              <w:rPr>
                <w:rFonts w:ascii="Arial" w:hAnsi="Arial" w:cs="Arial"/>
                <w:b/>
                <w:color w:val="000000" w:themeColor="text1"/>
                <w:spacing w:val="-2"/>
                <w:w w:val="105"/>
                <w:sz w:val="16"/>
                <w:szCs w:val="16"/>
              </w:rPr>
              <w:t xml:space="preserve"> </w:t>
            </w:r>
            <w:r w:rsidRPr="00381AA3">
              <w:rPr>
                <w:rFonts w:ascii="Arial" w:hAnsi="Arial" w:cs="Arial"/>
                <w:b/>
                <w:color w:val="000000" w:themeColor="text1"/>
                <w:spacing w:val="-1"/>
                <w:w w:val="105"/>
                <w:sz w:val="16"/>
                <w:szCs w:val="16"/>
              </w:rPr>
              <w:t>charges</w:t>
            </w:r>
            <w:r w:rsidRPr="00381AA3">
              <w:rPr>
                <w:rFonts w:ascii="Arial" w:hAnsi="Arial" w:cs="Arial"/>
                <w:b/>
                <w:color w:val="000000" w:themeColor="text1"/>
                <w:spacing w:val="18"/>
                <w:w w:val="105"/>
                <w:sz w:val="16"/>
                <w:szCs w:val="16"/>
              </w:rPr>
              <w:t xml:space="preserve"> </w:t>
            </w:r>
            <w:r w:rsidR="008A23BE" w:rsidRPr="00381AA3">
              <w:rPr>
                <w:rFonts w:ascii="Arial" w:hAnsi="Arial" w:cs="Arial"/>
                <w:b/>
                <w:color w:val="000000" w:themeColor="text1"/>
                <w:spacing w:val="-1"/>
                <w:w w:val="105"/>
                <w:sz w:val="16"/>
                <w:szCs w:val="16"/>
              </w:rPr>
              <w:t>0.</w:t>
            </w:r>
            <w:r w:rsidR="00381AA3" w:rsidRPr="00381AA3">
              <w:rPr>
                <w:rFonts w:ascii="Arial" w:hAnsi="Arial" w:cs="Arial"/>
                <w:b/>
                <w:color w:val="000000" w:themeColor="text1"/>
                <w:spacing w:val="-1"/>
                <w:w w:val="105"/>
                <w:sz w:val="16"/>
                <w:szCs w:val="16"/>
              </w:rPr>
              <w:t>70</w:t>
            </w:r>
            <w:r w:rsidRPr="00381AA3">
              <w:rPr>
                <w:rFonts w:ascii="Arial" w:hAnsi="Arial" w:cs="Arial"/>
                <w:b/>
                <w:color w:val="000000" w:themeColor="text1"/>
                <w:spacing w:val="-1"/>
                <w:w w:val="105"/>
                <w:sz w:val="16"/>
                <w:szCs w:val="16"/>
              </w:rPr>
              <w:t>%</w:t>
            </w:r>
            <w:r w:rsidR="007D5155" w:rsidRPr="00381AA3">
              <w:rPr>
                <w:rFonts w:ascii="Arial" w:hAnsi="Arial" w:cs="Arial"/>
                <w:b/>
                <w:color w:val="000000" w:themeColor="text1"/>
                <w:spacing w:val="-1"/>
                <w:w w:val="105"/>
                <w:sz w:val="16"/>
                <w:szCs w:val="16"/>
              </w:rPr>
              <w:t xml:space="preserve"> pa</w:t>
            </w:r>
          </w:p>
        </w:tc>
        <w:tc>
          <w:tcPr>
            <w:tcW w:w="2678" w:type="dxa"/>
            <w:gridSpan w:val="2"/>
            <w:tcBorders>
              <w:top w:val="single" w:sz="8" w:space="0" w:color="000000"/>
              <w:left w:val="single" w:sz="8" w:space="0" w:color="000000"/>
              <w:bottom w:val="single" w:sz="8" w:space="0" w:color="000000"/>
              <w:right w:val="single" w:sz="8" w:space="0" w:color="000000"/>
            </w:tcBorders>
            <w:shd w:val="clear" w:color="auto" w:fill="F1F1F1"/>
          </w:tcPr>
          <w:p w14:paraId="1F81A23A" w14:textId="4BD78E75" w:rsidR="000A7A58" w:rsidRPr="001427F1" w:rsidRDefault="000A7A58" w:rsidP="006419ED">
            <w:pPr>
              <w:pStyle w:val="TableParagraph"/>
              <w:spacing w:before="45"/>
              <w:jc w:val="center"/>
              <w:rPr>
                <w:rFonts w:ascii="Arial" w:eastAsia="Source Sans Pro" w:hAnsi="Arial" w:cs="Arial"/>
                <w:color w:val="FF0000"/>
                <w:sz w:val="16"/>
                <w:szCs w:val="16"/>
              </w:rPr>
            </w:pPr>
            <w:r w:rsidRPr="00C32EDC">
              <w:rPr>
                <w:rFonts w:ascii="Arial" w:hAnsi="Arial" w:cs="Arial"/>
                <w:b/>
                <w:color w:val="000000" w:themeColor="text1"/>
                <w:spacing w:val="-1"/>
                <w:w w:val="105"/>
                <w:sz w:val="16"/>
                <w:szCs w:val="16"/>
              </w:rPr>
              <w:t>Assumed</w:t>
            </w:r>
            <w:r w:rsidRPr="00C32EDC">
              <w:rPr>
                <w:rFonts w:ascii="Arial" w:hAnsi="Arial" w:cs="Arial"/>
                <w:b/>
                <w:color w:val="000000" w:themeColor="text1"/>
                <w:spacing w:val="-3"/>
                <w:w w:val="105"/>
                <w:sz w:val="16"/>
                <w:szCs w:val="16"/>
              </w:rPr>
              <w:t xml:space="preserve"> </w:t>
            </w:r>
            <w:r w:rsidRPr="00C32EDC">
              <w:rPr>
                <w:rFonts w:ascii="Arial" w:hAnsi="Arial" w:cs="Arial"/>
                <w:b/>
                <w:color w:val="000000" w:themeColor="text1"/>
                <w:spacing w:val="-1"/>
                <w:w w:val="105"/>
                <w:sz w:val="16"/>
                <w:szCs w:val="16"/>
              </w:rPr>
              <w:t>costs</w:t>
            </w:r>
            <w:r w:rsidRPr="00C32EDC">
              <w:rPr>
                <w:rFonts w:ascii="Arial" w:hAnsi="Arial" w:cs="Arial"/>
                <w:b/>
                <w:color w:val="000000" w:themeColor="text1"/>
                <w:spacing w:val="-3"/>
                <w:w w:val="105"/>
                <w:sz w:val="16"/>
                <w:szCs w:val="16"/>
              </w:rPr>
              <w:t xml:space="preserve"> </w:t>
            </w:r>
            <w:r w:rsidRPr="00C32EDC">
              <w:rPr>
                <w:rFonts w:ascii="Arial" w:hAnsi="Arial" w:cs="Arial"/>
                <w:b/>
                <w:color w:val="000000" w:themeColor="text1"/>
                <w:spacing w:val="-1"/>
                <w:w w:val="105"/>
                <w:sz w:val="16"/>
                <w:szCs w:val="16"/>
              </w:rPr>
              <w:t>and</w:t>
            </w:r>
            <w:r w:rsidRPr="00C32EDC">
              <w:rPr>
                <w:rFonts w:ascii="Arial" w:hAnsi="Arial" w:cs="Arial"/>
                <w:b/>
                <w:color w:val="000000" w:themeColor="text1"/>
                <w:spacing w:val="-2"/>
                <w:w w:val="105"/>
                <w:sz w:val="16"/>
                <w:szCs w:val="16"/>
              </w:rPr>
              <w:t xml:space="preserve"> </w:t>
            </w:r>
            <w:r w:rsidRPr="00C32EDC">
              <w:rPr>
                <w:rFonts w:ascii="Arial" w:hAnsi="Arial" w:cs="Arial"/>
                <w:b/>
                <w:color w:val="000000" w:themeColor="text1"/>
                <w:spacing w:val="-1"/>
                <w:w w:val="105"/>
                <w:sz w:val="16"/>
                <w:szCs w:val="16"/>
              </w:rPr>
              <w:t>charges</w:t>
            </w:r>
            <w:r w:rsidRPr="00C32EDC">
              <w:rPr>
                <w:rFonts w:ascii="Arial" w:hAnsi="Arial" w:cs="Arial"/>
                <w:b/>
                <w:color w:val="000000" w:themeColor="text1"/>
                <w:spacing w:val="18"/>
                <w:w w:val="105"/>
                <w:sz w:val="16"/>
                <w:szCs w:val="16"/>
              </w:rPr>
              <w:t xml:space="preserve"> </w:t>
            </w:r>
            <w:r w:rsidR="001E3D40" w:rsidRPr="00C32EDC">
              <w:rPr>
                <w:rFonts w:ascii="Arial" w:hAnsi="Arial" w:cs="Arial"/>
                <w:b/>
                <w:color w:val="000000" w:themeColor="text1"/>
                <w:spacing w:val="-1"/>
                <w:w w:val="105"/>
                <w:sz w:val="16"/>
                <w:szCs w:val="16"/>
              </w:rPr>
              <w:t>0.6</w:t>
            </w:r>
            <w:r w:rsidR="00C32EDC" w:rsidRPr="00C32EDC">
              <w:rPr>
                <w:rFonts w:ascii="Arial" w:hAnsi="Arial" w:cs="Arial"/>
                <w:b/>
                <w:color w:val="000000" w:themeColor="text1"/>
                <w:spacing w:val="-1"/>
                <w:w w:val="105"/>
                <w:sz w:val="16"/>
                <w:szCs w:val="16"/>
              </w:rPr>
              <w:t>3</w:t>
            </w:r>
            <w:r w:rsidRPr="00C32EDC">
              <w:rPr>
                <w:rFonts w:ascii="Arial" w:hAnsi="Arial" w:cs="Arial"/>
                <w:b/>
                <w:color w:val="000000" w:themeColor="text1"/>
                <w:spacing w:val="-1"/>
                <w:w w:val="105"/>
                <w:sz w:val="16"/>
                <w:szCs w:val="16"/>
              </w:rPr>
              <w:t>%</w:t>
            </w:r>
            <w:r w:rsidR="007D5155" w:rsidRPr="00C32EDC">
              <w:rPr>
                <w:rFonts w:ascii="Arial" w:hAnsi="Arial" w:cs="Arial"/>
                <w:b/>
                <w:color w:val="000000" w:themeColor="text1"/>
                <w:spacing w:val="-1"/>
                <w:w w:val="105"/>
                <w:sz w:val="16"/>
                <w:szCs w:val="16"/>
              </w:rPr>
              <w:t xml:space="preserve"> pa</w:t>
            </w:r>
          </w:p>
        </w:tc>
      </w:tr>
      <w:tr w:rsidR="00A51A9C" w:rsidRPr="00A51A9C" w14:paraId="575601AA" w14:textId="77777777" w:rsidTr="008765C2">
        <w:trPr>
          <w:trHeight w:hRule="exact" w:val="1701"/>
        </w:trPr>
        <w:tc>
          <w:tcPr>
            <w:tcW w:w="936" w:type="dxa"/>
            <w:tcBorders>
              <w:top w:val="single" w:sz="8" w:space="0" w:color="000000"/>
              <w:left w:val="single" w:sz="8" w:space="0" w:color="000000"/>
              <w:bottom w:val="single" w:sz="8" w:space="0" w:color="000000"/>
              <w:right w:val="single" w:sz="8" w:space="0" w:color="000000"/>
            </w:tcBorders>
            <w:vAlign w:val="center"/>
          </w:tcPr>
          <w:p w14:paraId="6232A18C" w14:textId="77777777" w:rsidR="000A7A58" w:rsidRPr="00CF7ED5" w:rsidRDefault="000A7A58" w:rsidP="000A7A58">
            <w:pPr>
              <w:pStyle w:val="TableParagraph"/>
              <w:jc w:val="center"/>
              <w:rPr>
                <w:rFonts w:ascii="Arial" w:eastAsia="Source Sans Pro" w:hAnsi="Arial" w:cs="Arial"/>
                <w:color w:val="000000" w:themeColor="text1"/>
                <w:sz w:val="16"/>
                <w:szCs w:val="16"/>
              </w:rPr>
            </w:pPr>
            <w:r w:rsidRPr="00CF7ED5">
              <w:rPr>
                <w:rFonts w:ascii="Arial" w:hAnsi="Arial" w:cs="Arial"/>
                <w:b/>
                <w:color w:val="000000" w:themeColor="text1"/>
                <w:w w:val="105"/>
                <w:sz w:val="16"/>
                <w:szCs w:val="16"/>
              </w:rPr>
              <w:t>At</w:t>
            </w:r>
            <w:r w:rsidRPr="00CF7ED5">
              <w:rPr>
                <w:rFonts w:ascii="Arial" w:hAnsi="Arial" w:cs="Arial"/>
                <w:b/>
                <w:color w:val="000000" w:themeColor="text1"/>
                <w:spacing w:val="-4"/>
                <w:w w:val="105"/>
                <w:sz w:val="16"/>
                <w:szCs w:val="16"/>
              </w:rPr>
              <w:t xml:space="preserve"> </w:t>
            </w:r>
            <w:r w:rsidRPr="00CF7ED5">
              <w:rPr>
                <w:rFonts w:ascii="Arial" w:hAnsi="Arial" w:cs="Arial"/>
                <w:b/>
                <w:color w:val="000000" w:themeColor="text1"/>
                <w:spacing w:val="-1"/>
                <w:w w:val="105"/>
                <w:sz w:val="16"/>
                <w:szCs w:val="16"/>
              </w:rPr>
              <w:t xml:space="preserve">end </w:t>
            </w:r>
            <w:r w:rsidRPr="00CF7ED5">
              <w:rPr>
                <w:rFonts w:ascii="Arial" w:hAnsi="Arial" w:cs="Arial"/>
                <w:b/>
                <w:color w:val="000000" w:themeColor="text1"/>
                <w:w w:val="105"/>
                <w:sz w:val="16"/>
                <w:szCs w:val="16"/>
              </w:rPr>
              <w:t>of</w:t>
            </w:r>
            <w:r w:rsidRPr="00CF7ED5">
              <w:rPr>
                <w:rFonts w:ascii="Arial" w:hAnsi="Arial" w:cs="Arial"/>
                <w:b/>
                <w:color w:val="000000" w:themeColor="text1"/>
                <w:spacing w:val="-3"/>
                <w:w w:val="105"/>
                <w:sz w:val="16"/>
                <w:szCs w:val="16"/>
              </w:rPr>
              <w:t xml:space="preserve"> </w:t>
            </w:r>
            <w:r w:rsidRPr="00CF7ED5">
              <w:rPr>
                <w:rFonts w:ascii="Arial" w:hAnsi="Arial" w:cs="Arial"/>
                <w:b/>
                <w:color w:val="000000" w:themeColor="text1"/>
                <w:spacing w:val="-1"/>
                <w:w w:val="105"/>
                <w:sz w:val="16"/>
                <w:szCs w:val="16"/>
              </w:rPr>
              <w:t>year</w:t>
            </w:r>
          </w:p>
        </w:tc>
        <w:tc>
          <w:tcPr>
            <w:tcW w:w="1339" w:type="dxa"/>
            <w:tcBorders>
              <w:top w:val="single" w:sz="8" w:space="0" w:color="000000"/>
              <w:left w:val="single" w:sz="8" w:space="0" w:color="000000"/>
              <w:bottom w:val="single" w:sz="8" w:space="0" w:color="000000"/>
              <w:right w:val="single" w:sz="8" w:space="0" w:color="000000"/>
            </w:tcBorders>
          </w:tcPr>
          <w:p w14:paraId="4B6C56B8" w14:textId="2386BD17" w:rsidR="000A7A58" w:rsidRPr="00C216FC" w:rsidRDefault="000A7A58" w:rsidP="006419ED">
            <w:pPr>
              <w:pStyle w:val="TableParagraph"/>
              <w:spacing w:before="76" w:line="287" w:lineRule="auto"/>
              <w:ind w:left="61" w:right="55"/>
              <w:jc w:val="center"/>
              <w:rPr>
                <w:rFonts w:ascii="Arial" w:eastAsia="Source Sans Pro" w:hAnsi="Arial" w:cs="Arial"/>
                <w:color w:val="000000" w:themeColor="text1"/>
                <w:sz w:val="16"/>
                <w:szCs w:val="16"/>
              </w:rPr>
            </w:pPr>
            <w:r w:rsidRPr="00C216FC">
              <w:rPr>
                <w:rFonts w:ascii="Arial" w:hAnsi="Arial" w:cs="Arial"/>
                <w:b/>
                <w:color w:val="000000" w:themeColor="text1"/>
                <w:spacing w:val="-1"/>
                <w:w w:val="105"/>
                <w:sz w:val="16"/>
                <w:szCs w:val="16"/>
              </w:rPr>
              <w:t>Projected</w:t>
            </w:r>
            <w:r w:rsidRPr="00C216FC">
              <w:rPr>
                <w:rFonts w:ascii="Arial" w:hAnsi="Arial" w:cs="Arial"/>
                <w:b/>
                <w:color w:val="000000" w:themeColor="text1"/>
                <w:spacing w:val="-6"/>
                <w:w w:val="105"/>
                <w:sz w:val="16"/>
                <w:szCs w:val="16"/>
              </w:rPr>
              <w:t xml:space="preserve"> </w:t>
            </w:r>
            <w:r w:rsidRPr="00C216FC">
              <w:rPr>
                <w:rFonts w:ascii="Arial" w:hAnsi="Arial" w:cs="Arial"/>
                <w:b/>
                <w:color w:val="000000" w:themeColor="text1"/>
                <w:spacing w:val="-1"/>
                <w:w w:val="105"/>
                <w:sz w:val="16"/>
                <w:szCs w:val="16"/>
              </w:rPr>
              <w:t>value</w:t>
            </w:r>
            <w:r w:rsidRPr="00C216FC">
              <w:rPr>
                <w:rFonts w:ascii="Arial" w:hAnsi="Arial" w:cs="Arial"/>
                <w:b/>
                <w:color w:val="000000" w:themeColor="text1"/>
                <w:spacing w:val="29"/>
                <w:w w:val="104"/>
                <w:sz w:val="16"/>
                <w:szCs w:val="16"/>
              </w:rPr>
              <w:t xml:space="preserve"> </w:t>
            </w:r>
            <w:r w:rsidR="008765C2" w:rsidRPr="00C216FC">
              <w:rPr>
                <w:rFonts w:ascii="Arial" w:hAnsi="Arial" w:cs="Arial"/>
                <w:b/>
                <w:color w:val="000000" w:themeColor="text1"/>
                <w:spacing w:val="29"/>
                <w:w w:val="104"/>
                <w:sz w:val="16"/>
                <w:szCs w:val="16"/>
              </w:rPr>
              <w:t xml:space="preserve">in </w:t>
            </w:r>
            <w:r w:rsidR="008765C2" w:rsidRPr="00C216FC">
              <w:rPr>
                <w:rFonts w:ascii="Arial" w:hAnsi="Arial" w:cs="Arial"/>
                <w:b/>
                <w:color w:val="000000" w:themeColor="text1"/>
                <w:spacing w:val="-1"/>
                <w:w w:val="105"/>
                <w:sz w:val="16"/>
                <w:szCs w:val="16"/>
              </w:rPr>
              <w:t>today’s money</w:t>
            </w:r>
            <w:r w:rsidR="008765C2" w:rsidRPr="00C216FC">
              <w:rPr>
                <w:rFonts w:ascii="Arial" w:hAnsi="Arial" w:cs="Arial"/>
                <w:b/>
                <w:color w:val="000000" w:themeColor="text1"/>
                <w:spacing w:val="29"/>
                <w:w w:val="104"/>
                <w:sz w:val="16"/>
                <w:szCs w:val="16"/>
              </w:rPr>
              <w:t xml:space="preserve"> </w:t>
            </w:r>
            <w:r w:rsidRPr="00C216FC">
              <w:rPr>
                <w:rFonts w:ascii="Arial" w:hAnsi="Arial" w:cs="Arial"/>
                <w:b/>
                <w:color w:val="000000" w:themeColor="text1"/>
                <w:spacing w:val="-1"/>
                <w:w w:val="105"/>
                <w:sz w:val="16"/>
                <w:szCs w:val="16"/>
              </w:rPr>
              <w:t>assuming</w:t>
            </w:r>
            <w:r w:rsidRPr="00C216FC">
              <w:rPr>
                <w:rFonts w:ascii="Arial" w:hAnsi="Arial" w:cs="Arial"/>
                <w:b/>
                <w:color w:val="000000" w:themeColor="text1"/>
                <w:spacing w:val="-5"/>
                <w:w w:val="105"/>
                <w:sz w:val="16"/>
                <w:szCs w:val="16"/>
              </w:rPr>
              <w:t xml:space="preserve"> </w:t>
            </w:r>
            <w:r w:rsidRPr="00C216FC">
              <w:rPr>
                <w:rFonts w:ascii="Arial" w:hAnsi="Arial" w:cs="Arial"/>
                <w:b/>
                <w:color w:val="000000" w:themeColor="text1"/>
                <w:spacing w:val="-1"/>
                <w:w w:val="105"/>
                <w:sz w:val="16"/>
                <w:szCs w:val="16"/>
              </w:rPr>
              <w:t>no</w:t>
            </w:r>
            <w:r w:rsidRPr="00C216FC">
              <w:rPr>
                <w:rFonts w:ascii="Arial" w:hAnsi="Arial" w:cs="Arial"/>
                <w:b/>
                <w:color w:val="000000" w:themeColor="text1"/>
                <w:spacing w:val="22"/>
                <w:w w:val="104"/>
                <w:sz w:val="16"/>
                <w:szCs w:val="16"/>
              </w:rPr>
              <w:t xml:space="preserve"> </w:t>
            </w:r>
            <w:r w:rsidRPr="00C216FC">
              <w:rPr>
                <w:rFonts w:ascii="Arial" w:hAnsi="Arial" w:cs="Arial"/>
                <w:b/>
                <w:color w:val="000000" w:themeColor="text1"/>
                <w:spacing w:val="-1"/>
                <w:w w:val="105"/>
                <w:sz w:val="16"/>
                <w:szCs w:val="16"/>
              </w:rPr>
              <w:t>charges</w:t>
            </w:r>
            <w:r w:rsidRPr="00C216FC">
              <w:rPr>
                <w:rFonts w:ascii="Arial" w:hAnsi="Arial" w:cs="Arial"/>
                <w:b/>
                <w:color w:val="000000" w:themeColor="text1"/>
                <w:spacing w:val="-6"/>
                <w:w w:val="105"/>
                <w:sz w:val="16"/>
                <w:szCs w:val="16"/>
              </w:rPr>
              <w:t xml:space="preserve"> </w:t>
            </w:r>
            <w:r w:rsidRPr="00C216FC">
              <w:rPr>
                <w:rFonts w:ascii="Arial" w:hAnsi="Arial" w:cs="Arial"/>
                <w:b/>
                <w:color w:val="000000" w:themeColor="text1"/>
                <w:spacing w:val="-1"/>
                <w:w w:val="105"/>
                <w:sz w:val="16"/>
                <w:szCs w:val="16"/>
              </w:rPr>
              <w:t>are</w:t>
            </w:r>
            <w:r w:rsidRPr="00C216FC">
              <w:rPr>
                <w:rFonts w:ascii="Arial" w:hAnsi="Arial" w:cs="Arial"/>
                <w:b/>
                <w:color w:val="000000" w:themeColor="text1"/>
                <w:spacing w:val="25"/>
                <w:w w:val="104"/>
                <w:sz w:val="16"/>
                <w:szCs w:val="16"/>
              </w:rPr>
              <w:t xml:space="preserve"> </w:t>
            </w:r>
            <w:r w:rsidRPr="00C216FC">
              <w:rPr>
                <w:rFonts w:ascii="Arial" w:hAnsi="Arial" w:cs="Arial"/>
                <w:b/>
                <w:color w:val="000000" w:themeColor="text1"/>
                <w:spacing w:val="-1"/>
                <w:w w:val="105"/>
                <w:sz w:val="16"/>
                <w:szCs w:val="16"/>
              </w:rPr>
              <w:t>taken</w:t>
            </w:r>
          </w:p>
        </w:tc>
        <w:tc>
          <w:tcPr>
            <w:tcW w:w="1339" w:type="dxa"/>
            <w:tcBorders>
              <w:top w:val="single" w:sz="8" w:space="0" w:color="000000"/>
              <w:left w:val="single" w:sz="8" w:space="0" w:color="000000"/>
              <w:bottom w:val="single" w:sz="8" w:space="0" w:color="000000"/>
              <w:right w:val="single" w:sz="8" w:space="0" w:color="000000"/>
            </w:tcBorders>
          </w:tcPr>
          <w:p w14:paraId="1647A90A" w14:textId="0310E072" w:rsidR="000A7A58" w:rsidRPr="00C32EDC" w:rsidRDefault="000A7A58" w:rsidP="006419ED">
            <w:pPr>
              <w:pStyle w:val="TableParagraph"/>
              <w:spacing w:before="76" w:line="287" w:lineRule="auto"/>
              <w:ind w:left="61" w:right="55"/>
              <w:jc w:val="center"/>
              <w:rPr>
                <w:rFonts w:ascii="Arial" w:eastAsia="Source Sans Pro" w:hAnsi="Arial" w:cs="Arial"/>
                <w:color w:val="0070C0"/>
                <w:sz w:val="16"/>
                <w:szCs w:val="16"/>
              </w:rPr>
            </w:pPr>
            <w:r w:rsidRPr="00C216FC">
              <w:rPr>
                <w:rFonts w:ascii="Arial" w:hAnsi="Arial" w:cs="Arial"/>
                <w:b/>
                <w:color w:val="000000" w:themeColor="text1"/>
                <w:spacing w:val="-1"/>
                <w:w w:val="105"/>
                <w:sz w:val="16"/>
                <w:szCs w:val="16"/>
              </w:rPr>
              <w:t>Projected</w:t>
            </w:r>
            <w:r w:rsidRPr="00C216FC">
              <w:rPr>
                <w:rFonts w:ascii="Arial" w:hAnsi="Arial" w:cs="Arial"/>
                <w:b/>
                <w:color w:val="000000" w:themeColor="text1"/>
                <w:spacing w:val="-6"/>
                <w:w w:val="105"/>
                <w:sz w:val="16"/>
                <w:szCs w:val="16"/>
              </w:rPr>
              <w:t xml:space="preserve"> </w:t>
            </w:r>
            <w:r w:rsidRPr="00C216FC">
              <w:rPr>
                <w:rFonts w:ascii="Arial" w:hAnsi="Arial" w:cs="Arial"/>
                <w:b/>
                <w:color w:val="000000" w:themeColor="text1"/>
                <w:spacing w:val="-1"/>
                <w:w w:val="105"/>
                <w:sz w:val="16"/>
                <w:szCs w:val="16"/>
              </w:rPr>
              <w:t>value</w:t>
            </w:r>
            <w:r w:rsidRPr="00C216FC">
              <w:rPr>
                <w:rFonts w:ascii="Arial" w:hAnsi="Arial" w:cs="Arial"/>
                <w:b/>
                <w:color w:val="000000" w:themeColor="text1"/>
                <w:spacing w:val="29"/>
                <w:w w:val="104"/>
                <w:sz w:val="16"/>
                <w:szCs w:val="16"/>
              </w:rPr>
              <w:t xml:space="preserve"> </w:t>
            </w:r>
            <w:r w:rsidR="008765C2" w:rsidRPr="00C216FC">
              <w:rPr>
                <w:rFonts w:ascii="Arial" w:hAnsi="Arial" w:cs="Arial"/>
                <w:b/>
                <w:color w:val="000000" w:themeColor="text1"/>
                <w:spacing w:val="29"/>
                <w:w w:val="104"/>
                <w:sz w:val="16"/>
                <w:szCs w:val="16"/>
              </w:rPr>
              <w:t xml:space="preserve">in </w:t>
            </w:r>
            <w:r w:rsidR="008765C2" w:rsidRPr="00C216FC">
              <w:rPr>
                <w:rFonts w:ascii="Arial" w:hAnsi="Arial" w:cs="Arial"/>
                <w:b/>
                <w:color w:val="000000" w:themeColor="text1"/>
                <w:spacing w:val="-1"/>
                <w:w w:val="105"/>
                <w:sz w:val="16"/>
                <w:szCs w:val="16"/>
              </w:rPr>
              <w:t>today’s money</w:t>
            </w:r>
            <w:r w:rsidR="008765C2" w:rsidRPr="00C216FC">
              <w:rPr>
                <w:rFonts w:ascii="Arial" w:hAnsi="Arial" w:cs="Arial"/>
                <w:b/>
                <w:color w:val="000000" w:themeColor="text1"/>
                <w:spacing w:val="29"/>
                <w:w w:val="104"/>
                <w:sz w:val="16"/>
                <w:szCs w:val="16"/>
              </w:rPr>
              <w:t xml:space="preserve"> </w:t>
            </w:r>
            <w:r w:rsidRPr="00C216FC">
              <w:rPr>
                <w:rFonts w:ascii="Arial" w:hAnsi="Arial" w:cs="Arial"/>
                <w:b/>
                <w:color w:val="000000" w:themeColor="text1"/>
                <w:spacing w:val="-1"/>
                <w:w w:val="105"/>
                <w:sz w:val="16"/>
                <w:szCs w:val="16"/>
              </w:rPr>
              <w:t>after</w:t>
            </w:r>
            <w:r w:rsidRPr="00C216FC">
              <w:rPr>
                <w:rFonts w:ascii="Arial" w:hAnsi="Arial" w:cs="Arial"/>
                <w:b/>
                <w:color w:val="000000" w:themeColor="text1"/>
                <w:spacing w:val="-4"/>
                <w:w w:val="105"/>
                <w:sz w:val="16"/>
                <w:szCs w:val="16"/>
              </w:rPr>
              <w:t xml:space="preserve"> </w:t>
            </w:r>
            <w:r w:rsidRPr="00C216FC">
              <w:rPr>
                <w:rFonts w:ascii="Arial" w:hAnsi="Arial" w:cs="Arial"/>
                <w:b/>
                <w:color w:val="000000" w:themeColor="text1"/>
                <w:spacing w:val="-1"/>
                <w:w w:val="105"/>
                <w:sz w:val="16"/>
                <w:szCs w:val="16"/>
              </w:rPr>
              <w:t>costs</w:t>
            </w:r>
            <w:r w:rsidRPr="00C216FC">
              <w:rPr>
                <w:rFonts w:ascii="Arial" w:hAnsi="Arial" w:cs="Arial"/>
                <w:b/>
                <w:color w:val="000000" w:themeColor="text1"/>
                <w:spacing w:val="-3"/>
                <w:w w:val="105"/>
                <w:sz w:val="16"/>
                <w:szCs w:val="16"/>
              </w:rPr>
              <w:t xml:space="preserve"> </w:t>
            </w:r>
            <w:r w:rsidRPr="00C216FC">
              <w:rPr>
                <w:rFonts w:ascii="Arial" w:hAnsi="Arial" w:cs="Arial"/>
                <w:b/>
                <w:color w:val="000000" w:themeColor="text1"/>
                <w:spacing w:val="-1"/>
                <w:w w:val="105"/>
                <w:sz w:val="16"/>
                <w:szCs w:val="16"/>
              </w:rPr>
              <w:t>and</w:t>
            </w:r>
            <w:r w:rsidRPr="00C216FC">
              <w:rPr>
                <w:rFonts w:ascii="Arial" w:hAnsi="Arial" w:cs="Arial"/>
                <w:b/>
                <w:color w:val="000000" w:themeColor="text1"/>
                <w:spacing w:val="24"/>
                <w:w w:val="104"/>
                <w:sz w:val="16"/>
                <w:szCs w:val="16"/>
              </w:rPr>
              <w:t xml:space="preserve"> </w:t>
            </w:r>
            <w:r w:rsidRPr="00C216FC">
              <w:rPr>
                <w:rFonts w:ascii="Arial" w:hAnsi="Arial" w:cs="Arial"/>
                <w:b/>
                <w:color w:val="000000" w:themeColor="text1"/>
                <w:spacing w:val="-1"/>
                <w:w w:val="105"/>
                <w:sz w:val="16"/>
                <w:szCs w:val="16"/>
              </w:rPr>
              <w:t>charges</w:t>
            </w:r>
            <w:r w:rsidRPr="00C216FC">
              <w:rPr>
                <w:rFonts w:ascii="Arial" w:hAnsi="Arial" w:cs="Arial"/>
                <w:b/>
                <w:color w:val="000000" w:themeColor="text1"/>
                <w:spacing w:val="-6"/>
                <w:w w:val="105"/>
                <w:sz w:val="16"/>
                <w:szCs w:val="16"/>
              </w:rPr>
              <w:t xml:space="preserve"> </w:t>
            </w:r>
            <w:r w:rsidRPr="00C216FC">
              <w:rPr>
                <w:rFonts w:ascii="Arial" w:hAnsi="Arial" w:cs="Arial"/>
                <w:b/>
                <w:color w:val="000000" w:themeColor="text1"/>
                <w:spacing w:val="-1"/>
                <w:w w:val="105"/>
                <w:sz w:val="16"/>
                <w:szCs w:val="16"/>
              </w:rPr>
              <w:t>are</w:t>
            </w:r>
            <w:r w:rsidRPr="00C216FC">
              <w:rPr>
                <w:rFonts w:ascii="Arial" w:hAnsi="Arial" w:cs="Arial"/>
                <w:b/>
                <w:color w:val="000000" w:themeColor="text1"/>
                <w:spacing w:val="25"/>
                <w:w w:val="104"/>
                <w:sz w:val="16"/>
                <w:szCs w:val="16"/>
              </w:rPr>
              <w:t xml:space="preserve"> </w:t>
            </w:r>
            <w:r w:rsidRPr="00C216FC">
              <w:rPr>
                <w:rFonts w:ascii="Arial" w:hAnsi="Arial" w:cs="Arial"/>
                <w:b/>
                <w:color w:val="000000" w:themeColor="text1"/>
                <w:spacing w:val="-1"/>
                <w:w w:val="105"/>
                <w:sz w:val="16"/>
                <w:szCs w:val="16"/>
              </w:rPr>
              <w:t>taken</w:t>
            </w:r>
          </w:p>
        </w:tc>
        <w:tc>
          <w:tcPr>
            <w:tcW w:w="1339" w:type="dxa"/>
            <w:tcBorders>
              <w:top w:val="single" w:sz="8" w:space="0" w:color="000000"/>
              <w:left w:val="single" w:sz="8" w:space="0" w:color="000000"/>
              <w:bottom w:val="single" w:sz="8" w:space="0" w:color="000000"/>
              <w:right w:val="single" w:sz="8" w:space="0" w:color="000000"/>
            </w:tcBorders>
          </w:tcPr>
          <w:p w14:paraId="562C9017" w14:textId="397F14A9" w:rsidR="000A7A58" w:rsidRPr="00381AA3" w:rsidRDefault="000A7A58" w:rsidP="006419ED">
            <w:pPr>
              <w:pStyle w:val="TableParagraph"/>
              <w:spacing w:before="76" w:line="287" w:lineRule="auto"/>
              <w:ind w:left="61" w:right="56"/>
              <w:jc w:val="center"/>
              <w:rPr>
                <w:rFonts w:ascii="Arial" w:eastAsia="Source Sans Pro" w:hAnsi="Arial" w:cs="Arial"/>
                <w:color w:val="000000" w:themeColor="text1"/>
                <w:sz w:val="16"/>
                <w:szCs w:val="16"/>
              </w:rPr>
            </w:pPr>
            <w:r w:rsidRPr="00381AA3">
              <w:rPr>
                <w:rFonts w:ascii="Arial" w:hAnsi="Arial" w:cs="Arial"/>
                <w:b/>
                <w:color w:val="000000" w:themeColor="text1"/>
                <w:spacing w:val="-1"/>
                <w:w w:val="105"/>
                <w:sz w:val="16"/>
                <w:szCs w:val="16"/>
              </w:rPr>
              <w:t>Projected</w:t>
            </w:r>
            <w:r w:rsidRPr="00381AA3">
              <w:rPr>
                <w:rFonts w:ascii="Arial" w:hAnsi="Arial" w:cs="Arial"/>
                <w:b/>
                <w:color w:val="000000" w:themeColor="text1"/>
                <w:spacing w:val="-6"/>
                <w:w w:val="105"/>
                <w:sz w:val="16"/>
                <w:szCs w:val="16"/>
              </w:rPr>
              <w:t xml:space="preserve"> </w:t>
            </w:r>
            <w:r w:rsidRPr="00381AA3">
              <w:rPr>
                <w:rFonts w:ascii="Arial" w:hAnsi="Arial" w:cs="Arial"/>
                <w:b/>
                <w:color w:val="000000" w:themeColor="text1"/>
                <w:spacing w:val="-1"/>
                <w:w w:val="105"/>
                <w:sz w:val="16"/>
                <w:szCs w:val="16"/>
              </w:rPr>
              <w:t>value</w:t>
            </w:r>
            <w:r w:rsidRPr="00381AA3">
              <w:rPr>
                <w:rFonts w:ascii="Arial" w:hAnsi="Arial" w:cs="Arial"/>
                <w:b/>
                <w:color w:val="000000" w:themeColor="text1"/>
                <w:spacing w:val="29"/>
                <w:w w:val="104"/>
                <w:sz w:val="16"/>
                <w:szCs w:val="16"/>
              </w:rPr>
              <w:t xml:space="preserve"> </w:t>
            </w:r>
            <w:r w:rsidR="008765C2" w:rsidRPr="00381AA3">
              <w:rPr>
                <w:rFonts w:ascii="Arial" w:hAnsi="Arial" w:cs="Arial"/>
                <w:b/>
                <w:color w:val="000000" w:themeColor="text1"/>
                <w:spacing w:val="29"/>
                <w:w w:val="104"/>
                <w:sz w:val="16"/>
                <w:szCs w:val="16"/>
              </w:rPr>
              <w:t xml:space="preserve">in </w:t>
            </w:r>
            <w:r w:rsidR="008765C2" w:rsidRPr="00381AA3">
              <w:rPr>
                <w:rFonts w:ascii="Arial" w:hAnsi="Arial" w:cs="Arial"/>
                <w:b/>
                <w:color w:val="000000" w:themeColor="text1"/>
                <w:spacing w:val="-1"/>
                <w:w w:val="105"/>
                <w:sz w:val="16"/>
                <w:szCs w:val="16"/>
              </w:rPr>
              <w:t>today’s money</w:t>
            </w:r>
            <w:r w:rsidR="008765C2" w:rsidRPr="00381AA3">
              <w:rPr>
                <w:rFonts w:ascii="Arial" w:hAnsi="Arial" w:cs="Arial"/>
                <w:b/>
                <w:color w:val="000000" w:themeColor="text1"/>
                <w:spacing w:val="29"/>
                <w:w w:val="104"/>
                <w:sz w:val="16"/>
                <w:szCs w:val="16"/>
              </w:rPr>
              <w:t xml:space="preserve"> </w:t>
            </w:r>
            <w:r w:rsidRPr="00381AA3">
              <w:rPr>
                <w:rFonts w:ascii="Arial" w:hAnsi="Arial" w:cs="Arial"/>
                <w:b/>
                <w:color w:val="000000" w:themeColor="text1"/>
                <w:spacing w:val="-1"/>
                <w:w w:val="105"/>
                <w:sz w:val="16"/>
                <w:szCs w:val="16"/>
              </w:rPr>
              <w:t>assuming</w:t>
            </w:r>
            <w:r w:rsidRPr="00381AA3">
              <w:rPr>
                <w:rFonts w:ascii="Arial" w:hAnsi="Arial" w:cs="Arial"/>
                <w:b/>
                <w:color w:val="000000" w:themeColor="text1"/>
                <w:spacing w:val="-5"/>
                <w:w w:val="105"/>
                <w:sz w:val="16"/>
                <w:szCs w:val="16"/>
              </w:rPr>
              <w:t xml:space="preserve"> </w:t>
            </w:r>
            <w:r w:rsidRPr="00381AA3">
              <w:rPr>
                <w:rFonts w:ascii="Arial" w:hAnsi="Arial" w:cs="Arial"/>
                <w:b/>
                <w:color w:val="000000" w:themeColor="text1"/>
                <w:spacing w:val="-1"/>
                <w:w w:val="105"/>
                <w:sz w:val="16"/>
                <w:szCs w:val="16"/>
              </w:rPr>
              <w:t>no</w:t>
            </w:r>
            <w:r w:rsidRPr="00381AA3">
              <w:rPr>
                <w:rFonts w:ascii="Arial" w:hAnsi="Arial" w:cs="Arial"/>
                <w:b/>
                <w:color w:val="000000" w:themeColor="text1"/>
                <w:spacing w:val="22"/>
                <w:w w:val="104"/>
                <w:sz w:val="16"/>
                <w:szCs w:val="16"/>
              </w:rPr>
              <w:t xml:space="preserve"> </w:t>
            </w:r>
            <w:r w:rsidRPr="00381AA3">
              <w:rPr>
                <w:rFonts w:ascii="Arial" w:hAnsi="Arial" w:cs="Arial"/>
                <w:b/>
                <w:color w:val="000000" w:themeColor="text1"/>
                <w:spacing w:val="-1"/>
                <w:w w:val="105"/>
                <w:sz w:val="16"/>
                <w:szCs w:val="16"/>
              </w:rPr>
              <w:t>charges</w:t>
            </w:r>
            <w:r w:rsidRPr="00381AA3">
              <w:rPr>
                <w:rFonts w:ascii="Arial" w:hAnsi="Arial" w:cs="Arial"/>
                <w:b/>
                <w:color w:val="000000" w:themeColor="text1"/>
                <w:spacing w:val="-6"/>
                <w:w w:val="105"/>
                <w:sz w:val="16"/>
                <w:szCs w:val="16"/>
              </w:rPr>
              <w:t xml:space="preserve"> </w:t>
            </w:r>
            <w:r w:rsidRPr="00381AA3">
              <w:rPr>
                <w:rFonts w:ascii="Arial" w:hAnsi="Arial" w:cs="Arial"/>
                <w:b/>
                <w:color w:val="000000" w:themeColor="text1"/>
                <w:spacing w:val="-1"/>
                <w:w w:val="105"/>
                <w:sz w:val="16"/>
                <w:szCs w:val="16"/>
              </w:rPr>
              <w:t>are</w:t>
            </w:r>
            <w:r w:rsidRPr="00381AA3">
              <w:rPr>
                <w:rFonts w:ascii="Arial" w:hAnsi="Arial" w:cs="Arial"/>
                <w:b/>
                <w:color w:val="000000" w:themeColor="text1"/>
                <w:spacing w:val="25"/>
                <w:w w:val="104"/>
                <w:sz w:val="16"/>
                <w:szCs w:val="16"/>
              </w:rPr>
              <w:t xml:space="preserve"> </w:t>
            </w:r>
            <w:r w:rsidRPr="00381AA3">
              <w:rPr>
                <w:rFonts w:ascii="Arial" w:hAnsi="Arial" w:cs="Arial"/>
                <w:b/>
                <w:color w:val="000000" w:themeColor="text1"/>
                <w:spacing w:val="-1"/>
                <w:w w:val="105"/>
                <w:sz w:val="16"/>
                <w:szCs w:val="16"/>
              </w:rPr>
              <w:t>taken</w:t>
            </w:r>
          </w:p>
        </w:tc>
        <w:tc>
          <w:tcPr>
            <w:tcW w:w="1339" w:type="dxa"/>
            <w:tcBorders>
              <w:top w:val="single" w:sz="8" w:space="0" w:color="000000"/>
              <w:left w:val="single" w:sz="8" w:space="0" w:color="000000"/>
              <w:bottom w:val="single" w:sz="8" w:space="0" w:color="000000"/>
              <w:right w:val="single" w:sz="8" w:space="0" w:color="000000"/>
            </w:tcBorders>
          </w:tcPr>
          <w:p w14:paraId="06A0A9AF" w14:textId="5B48676B" w:rsidR="000A7A58" w:rsidRPr="00381AA3" w:rsidRDefault="000A7A58" w:rsidP="006419ED">
            <w:pPr>
              <w:pStyle w:val="TableParagraph"/>
              <w:spacing w:before="76" w:line="287" w:lineRule="auto"/>
              <w:ind w:left="61" w:right="55"/>
              <w:jc w:val="center"/>
              <w:rPr>
                <w:rFonts w:ascii="Arial" w:eastAsia="Source Sans Pro" w:hAnsi="Arial" w:cs="Arial"/>
                <w:color w:val="000000" w:themeColor="text1"/>
                <w:sz w:val="16"/>
                <w:szCs w:val="16"/>
              </w:rPr>
            </w:pPr>
            <w:r w:rsidRPr="00381AA3">
              <w:rPr>
                <w:rFonts w:ascii="Arial" w:hAnsi="Arial" w:cs="Arial"/>
                <w:b/>
                <w:color w:val="000000" w:themeColor="text1"/>
                <w:spacing w:val="-1"/>
                <w:w w:val="105"/>
                <w:sz w:val="16"/>
                <w:szCs w:val="16"/>
              </w:rPr>
              <w:t>Projected</w:t>
            </w:r>
            <w:r w:rsidRPr="00381AA3">
              <w:rPr>
                <w:rFonts w:ascii="Arial" w:hAnsi="Arial" w:cs="Arial"/>
                <w:b/>
                <w:color w:val="000000" w:themeColor="text1"/>
                <w:spacing w:val="-6"/>
                <w:w w:val="105"/>
                <w:sz w:val="16"/>
                <w:szCs w:val="16"/>
              </w:rPr>
              <w:t xml:space="preserve"> </w:t>
            </w:r>
            <w:r w:rsidRPr="00381AA3">
              <w:rPr>
                <w:rFonts w:ascii="Arial" w:hAnsi="Arial" w:cs="Arial"/>
                <w:b/>
                <w:color w:val="000000" w:themeColor="text1"/>
                <w:spacing w:val="-1"/>
                <w:w w:val="105"/>
                <w:sz w:val="16"/>
                <w:szCs w:val="16"/>
              </w:rPr>
              <w:t>value</w:t>
            </w:r>
            <w:r w:rsidRPr="00381AA3">
              <w:rPr>
                <w:rFonts w:ascii="Arial" w:hAnsi="Arial" w:cs="Arial"/>
                <w:b/>
                <w:color w:val="000000" w:themeColor="text1"/>
                <w:spacing w:val="29"/>
                <w:w w:val="104"/>
                <w:sz w:val="16"/>
                <w:szCs w:val="16"/>
              </w:rPr>
              <w:t xml:space="preserve"> </w:t>
            </w:r>
            <w:r w:rsidR="008765C2" w:rsidRPr="00381AA3">
              <w:rPr>
                <w:rFonts w:ascii="Arial" w:hAnsi="Arial" w:cs="Arial"/>
                <w:b/>
                <w:color w:val="000000" w:themeColor="text1"/>
                <w:spacing w:val="29"/>
                <w:w w:val="104"/>
                <w:sz w:val="16"/>
                <w:szCs w:val="16"/>
              </w:rPr>
              <w:t xml:space="preserve">in </w:t>
            </w:r>
            <w:r w:rsidR="008765C2" w:rsidRPr="00381AA3">
              <w:rPr>
                <w:rFonts w:ascii="Arial" w:hAnsi="Arial" w:cs="Arial"/>
                <w:b/>
                <w:color w:val="000000" w:themeColor="text1"/>
                <w:spacing w:val="-1"/>
                <w:w w:val="105"/>
                <w:sz w:val="16"/>
                <w:szCs w:val="16"/>
              </w:rPr>
              <w:t xml:space="preserve">today’s money </w:t>
            </w:r>
            <w:r w:rsidRPr="00381AA3">
              <w:rPr>
                <w:rFonts w:ascii="Arial" w:hAnsi="Arial" w:cs="Arial"/>
                <w:b/>
                <w:color w:val="000000" w:themeColor="text1"/>
                <w:spacing w:val="-1"/>
                <w:w w:val="105"/>
                <w:sz w:val="16"/>
                <w:szCs w:val="16"/>
              </w:rPr>
              <w:t>after</w:t>
            </w:r>
            <w:r w:rsidRPr="00381AA3">
              <w:rPr>
                <w:rFonts w:ascii="Arial" w:hAnsi="Arial" w:cs="Arial"/>
                <w:b/>
                <w:color w:val="000000" w:themeColor="text1"/>
                <w:spacing w:val="-4"/>
                <w:w w:val="105"/>
                <w:sz w:val="16"/>
                <w:szCs w:val="16"/>
              </w:rPr>
              <w:t xml:space="preserve"> </w:t>
            </w:r>
            <w:r w:rsidRPr="00381AA3">
              <w:rPr>
                <w:rFonts w:ascii="Arial" w:hAnsi="Arial" w:cs="Arial"/>
                <w:b/>
                <w:color w:val="000000" w:themeColor="text1"/>
                <w:spacing w:val="-1"/>
                <w:w w:val="105"/>
                <w:sz w:val="16"/>
                <w:szCs w:val="16"/>
              </w:rPr>
              <w:t>costs</w:t>
            </w:r>
            <w:r w:rsidRPr="00381AA3">
              <w:rPr>
                <w:rFonts w:ascii="Arial" w:hAnsi="Arial" w:cs="Arial"/>
                <w:b/>
                <w:color w:val="000000" w:themeColor="text1"/>
                <w:spacing w:val="-3"/>
                <w:w w:val="105"/>
                <w:sz w:val="16"/>
                <w:szCs w:val="16"/>
              </w:rPr>
              <w:t xml:space="preserve"> </w:t>
            </w:r>
            <w:r w:rsidRPr="00381AA3">
              <w:rPr>
                <w:rFonts w:ascii="Arial" w:hAnsi="Arial" w:cs="Arial"/>
                <w:b/>
                <w:color w:val="000000" w:themeColor="text1"/>
                <w:spacing w:val="-1"/>
                <w:w w:val="105"/>
                <w:sz w:val="16"/>
                <w:szCs w:val="16"/>
              </w:rPr>
              <w:t>and</w:t>
            </w:r>
            <w:r w:rsidRPr="00381AA3">
              <w:rPr>
                <w:rFonts w:ascii="Arial" w:hAnsi="Arial" w:cs="Arial"/>
                <w:b/>
                <w:color w:val="000000" w:themeColor="text1"/>
                <w:spacing w:val="24"/>
                <w:w w:val="104"/>
                <w:sz w:val="16"/>
                <w:szCs w:val="16"/>
              </w:rPr>
              <w:t xml:space="preserve"> </w:t>
            </w:r>
            <w:r w:rsidRPr="00381AA3">
              <w:rPr>
                <w:rFonts w:ascii="Arial" w:hAnsi="Arial" w:cs="Arial"/>
                <w:b/>
                <w:color w:val="000000" w:themeColor="text1"/>
                <w:spacing w:val="-1"/>
                <w:w w:val="105"/>
                <w:sz w:val="16"/>
                <w:szCs w:val="16"/>
              </w:rPr>
              <w:t>charges</w:t>
            </w:r>
            <w:r w:rsidRPr="00381AA3">
              <w:rPr>
                <w:rFonts w:ascii="Arial" w:hAnsi="Arial" w:cs="Arial"/>
                <w:b/>
                <w:color w:val="000000" w:themeColor="text1"/>
                <w:spacing w:val="-6"/>
                <w:w w:val="105"/>
                <w:sz w:val="16"/>
                <w:szCs w:val="16"/>
              </w:rPr>
              <w:t xml:space="preserve"> </w:t>
            </w:r>
            <w:r w:rsidRPr="00381AA3">
              <w:rPr>
                <w:rFonts w:ascii="Arial" w:hAnsi="Arial" w:cs="Arial"/>
                <w:b/>
                <w:color w:val="000000" w:themeColor="text1"/>
                <w:spacing w:val="-1"/>
                <w:w w:val="105"/>
                <w:sz w:val="16"/>
                <w:szCs w:val="16"/>
              </w:rPr>
              <w:t>are</w:t>
            </w:r>
            <w:r w:rsidRPr="00381AA3">
              <w:rPr>
                <w:rFonts w:ascii="Arial" w:hAnsi="Arial" w:cs="Arial"/>
                <w:b/>
                <w:color w:val="000000" w:themeColor="text1"/>
                <w:spacing w:val="25"/>
                <w:w w:val="104"/>
                <w:sz w:val="16"/>
                <w:szCs w:val="16"/>
              </w:rPr>
              <w:t xml:space="preserve"> </w:t>
            </w:r>
            <w:r w:rsidRPr="00381AA3">
              <w:rPr>
                <w:rFonts w:ascii="Arial" w:hAnsi="Arial" w:cs="Arial"/>
                <w:b/>
                <w:color w:val="000000" w:themeColor="text1"/>
                <w:spacing w:val="-1"/>
                <w:w w:val="105"/>
                <w:sz w:val="16"/>
                <w:szCs w:val="16"/>
              </w:rPr>
              <w:t>taken</w:t>
            </w:r>
          </w:p>
        </w:tc>
        <w:tc>
          <w:tcPr>
            <w:tcW w:w="1339" w:type="dxa"/>
            <w:tcBorders>
              <w:top w:val="single" w:sz="8" w:space="0" w:color="000000"/>
              <w:left w:val="single" w:sz="8" w:space="0" w:color="000000"/>
              <w:bottom w:val="single" w:sz="8" w:space="0" w:color="000000"/>
              <w:right w:val="single" w:sz="8" w:space="0" w:color="000000"/>
            </w:tcBorders>
          </w:tcPr>
          <w:p w14:paraId="5C9A648E" w14:textId="03B4646B" w:rsidR="000A7A58" w:rsidRPr="00C32EDC" w:rsidRDefault="000A7A58" w:rsidP="006419ED">
            <w:pPr>
              <w:pStyle w:val="TableParagraph"/>
              <w:spacing w:before="76" w:line="287" w:lineRule="auto"/>
              <w:ind w:left="61" w:right="55"/>
              <w:jc w:val="center"/>
              <w:rPr>
                <w:rFonts w:ascii="Arial" w:eastAsia="Source Sans Pro" w:hAnsi="Arial" w:cs="Arial"/>
                <w:color w:val="000000" w:themeColor="text1"/>
                <w:sz w:val="16"/>
                <w:szCs w:val="16"/>
              </w:rPr>
            </w:pPr>
            <w:r w:rsidRPr="00C32EDC">
              <w:rPr>
                <w:rFonts w:ascii="Arial" w:hAnsi="Arial" w:cs="Arial"/>
                <w:b/>
                <w:color w:val="000000" w:themeColor="text1"/>
                <w:spacing w:val="-1"/>
                <w:w w:val="105"/>
                <w:sz w:val="16"/>
                <w:szCs w:val="16"/>
              </w:rPr>
              <w:t>Projected</w:t>
            </w:r>
            <w:r w:rsidRPr="00C32EDC">
              <w:rPr>
                <w:rFonts w:ascii="Arial" w:hAnsi="Arial" w:cs="Arial"/>
                <w:b/>
                <w:color w:val="000000" w:themeColor="text1"/>
                <w:spacing w:val="-6"/>
                <w:w w:val="105"/>
                <w:sz w:val="16"/>
                <w:szCs w:val="16"/>
              </w:rPr>
              <w:t xml:space="preserve"> </w:t>
            </w:r>
            <w:r w:rsidRPr="00C32EDC">
              <w:rPr>
                <w:rFonts w:ascii="Arial" w:hAnsi="Arial" w:cs="Arial"/>
                <w:b/>
                <w:color w:val="000000" w:themeColor="text1"/>
                <w:spacing w:val="-1"/>
                <w:w w:val="105"/>
                <w:sz w:val="16"/>
                <w:szCs w:val="16"/>
              </w:rPr>
              <w:t>value</w:t>
            </w:r>
            <w:r w:rsidRPr="00C32EDC">
              <w:rPr>
                <w:rFonts w:ascii="Arial" w:hAnsi="Arial" w:cs="Arial"/>
                <w:b/>
                <w:color w:val="000000" w:themeColor="text1"/>
                <w:spacing w:val="29"/>
                <w:w w:val="104"/>
                <w:sz w:val="16"/>
                <w:szCs w:val="16"/>
              </w:rPr>
              <w:t xml:space="preserve"> </w:t>
            </w:r>
            <w:r w:rsidR="008765C2" w:rsidRPr="00C32EDC">
              <w:rPr>
                <w:rFonts w:ascii="Arial" w:hAnsi="Arial" w:cs="Arial"/>
                <w:b/>
                <w:color w:val="000000" w:themeColor="text1"/>
                <w:spacing w:val="29"/>
                <w:w w:val="104"/>
                <w:sz w:val="16"/>
                <w:szCs w:val="16"/>
              </w:rPr>
              <w:t xml:space="preserve">in </w:t>
            </w:r>
            <w:r w:rsidR="008765C2" w:rsidRPr="00C32EDC">
              <w:rPr>
                <w:rFonts w:ascii="Arial" w:hAnsi="Arial" w:cs="Arial"/>
                <w:b/>
                <w:color w:val="000000" w:themeColor="text1"/>
                <w:spacing w:val="-1"/>
                <w:w w:val="105"/>
                <w:sz w:val="16"/>
                <w:szCs w:val="16"/>
              </w:rPr>
              <w:t>today’s money</w:t>
            </w:r>
            <w:r w:rsidR="008765C2" w:rsidRPr="00C32EDC">
              <w:rPr>
                <w:rFonts w:ascii="Arial" w:hAnsi="Arial" w:cs="Arial"/>
                <w:b/>
                <w:color w:val="000000" w:themeColor="text1"/>
                <w:spacing w:val="29"/>
                <w:w w:val="104"/>
                <w:sz w:val="16"/>
                <w:szCs w:val="16"/>
              </w:rPr>
              <w:t xml:space="preserve"> </w:t>
            </w:r>
            <w:r w:rsidRPr="00C32EDC">
              <w:rPr>
                <w:rFonts w:ascii="Arial" w:hAnsi="Arial" w:cs="Arial"/>
                <w:b/>
                <w:color w:val="000000" w:themeColor="text1"/>
                <w:spacing w:val="-1"/>
                <w:w w:val="105"/>
                <w:sz w:val="16"/>
                <w:szCs w:val="16"/>
              </w:rPr>
              <w:t>assuming</w:t>
            </w:r>
            <w:r w:rsidRPr="00C32EDC">
              <w:rPr>
                <w:rFonts w:ascii="Arial" w:hAnsi="Arial" w:cs="Arial"/>
                <w:b/>
                <w:color w:val="000000" w:themeColor="text1"/>
                <w:spacing w:val="-5"/>
                <w:w w:val="105"/>
                <w:sz w:val="16"/>
                <w:szCs w:val="16"/>
              </w:rPr>
              <w:t xml:space="preserve"> </w:t>
            </w:r>
            <w:r w:rsidRPr="00C32EDC">
              <w:rPr>
                <w:rFonts w:ascii="Arial" w:hAnsi="Arial" w:cs="Arial"/>
                <w:b/>
                <w:color w:val="000000" w:themeColor="text1"/>
                <w:spacing w:val="-1"/>
                <w:w w:val="105"/>
                <w:sz w:val="16"/>
                <w:szCs w:val="16"/>
              </w:rPr>
              <w:t>no</w:t>
            </w:r>
            <w:r w:rsidRPr="00C32EDC">
              <w:rPr>
                <w:rFonts w:ascii="Arial" w:hAnsi="Arial" w:cs="Arial"/>
                <w:b/>
                <w:color w:val="000000" w:themeColor="text1"/>
                <w:spacing w:val="22"/>
                <w:w w:val="104"/>
                <w:sz w:val="16"/>
                <w:szCs w:val="16"/>
              </w:rPr>
              <w:t xml:space="preserve"> </w:t>
            </w:r>
            <w:r w:rsidRPr="00C32EDC">
              <w:rPr>
                <w:rFonts w:ascii="Arial" w:hAnsi="Arial" w:cs="Arial"/>
                <w:b/>
                <w:color w:val="000000" w:themeColor="text1"/>
                <w:spacing w:val="-1"/>
                <w:w w:val="105"/>
                <w:sz w:val="16"/>
                <w:szCs w:val="16"/>
              </w:rPr>
              <w:t>charges</w:t>
            </w:r>
            <w:r w:rsidRPr="00C32EDC">
              <w:rPr>
                <w:rFonts w:ascii="Arial" w:hAnsi="Arial" w:cs="Arial"/>
                <w:b/>
                <w:color w:val="000000" w:themeColor="text1"/>
                <w:spacing w:val="-6"/>
                <w:w w:val="105"/>
                <w:sz w:val="16"/>
                <w:szCs w:val="16"/>
              </w:rPr>
              <w:t xml:space="preserve"> </w:t>
            </w:r>
            <w:r w:rsidRPr="00C32EDC">
              <w:rPr>
                <w:rFonts w:ascii="Arial" w:hAnsi="Arial" w:cs="Arial"/>
                <w:b/>
                <w:color w:val="000000" w:themeColor="text1"/>
                <w:spacing w:val="-1"/>
                <w:w w:val="105"/>
                <w:sz w:val="16"/>
                <w:szCs w:val="16"/>
              </w:rPr>
              <w:t>are</w:t>
            </w:r>
            <w:r w:rsidRPr="00C32EDC">
              <w:rPr>
                <w:rFonts w:ascii="Arial" w:hAnsi="Arial" w:cs="Arial"/>
                <w:b/>
                <w:color w:val="000000" w:themeColor="text1"/>
                <w:spacing w:val="25"/>
                <w:w w:val="104"/>
                <w:sz w:val="16"/>
                <w:szCs w:val="16"/>
              </w:rPr>
              <w:t xml:space="preserve"> </w:t>
            </w:r>
            <w:r w:rsidRPr="00C32EDC">
              <w:rPr>
                <w:rFonts w:ascii="Arial" w:hAnsi="Arial" w:cs="Arial"/>
                <w:b/>
                <w:color w:val="000000" w:themeColor="text1"/>
                <w:spacing w:val="-1"/>
                <w:w w:val="105"/>
                <w:sz w:val="16"/>
                <w:szCs w:val="16"/>
              </w:rPr>
              <w:t>taken</w:t>
            </w:r>
          </w:p>
        </w:tc>
        <w:tc>
          <w:tcPr>
            <w:tcW w:w="1339" w:type="dxa"/>
            <w:tcBorders>
              <w:top w:val="single" w:sz="8" w:space="0" w:color="000000"/>
              <w:left w:val="single" w:sz="8" w:space="0" w:color="000000"/>
              <w:bottom w:val="single" w:sz="8" w:space="0" w:color="000000"/>
              <w:right w:val="single" w:sz="8" w:space="0" w:color="000000"/>
            </w:tcBorders>
          </w:tcPr>
          <w:p w14:paraId="2A108E74" w14:textId="3A7D099B" w:rsidR="000A7A58" w:rsidRPr="00C32EDC" w:rsidRDefault="000A7A58" w:rsidP="006419ED">
            <w:pPr>
              <w:pStyle w:val="TableParagraph"/>
              <w:spacing w:before="76" w:line="287" w:lineRule="auto"/>
              <w:ind w:left="61" w:right="55"/>
              <w:jc w:val="center"/>
              <w:rPr>
                <w:rFonts w:ascii="Arial" w:eastAsia="Source Sans Pro" w:hAnsi="Arial" w:cs="Arial"/>
                <w:color w:val="000000" w:themeColor="text1"/>
                <w:sz w:val="16"/>
                <w:szCs w:val="16"/>
              </w:rPr>
            </w:pPr>
            <w:r w:rsidRPr="00C32EDC">
              <w:rPr>
                <w:rFonts w:ascii="Arial" w:hAnsi="Arial" w:cs="Arial"/>
                <w:b/>
                <w:color w:val="000000" w:themeColor="text1"/>
                <w:spacing w:val="-1"/>
                <w:w w:val="105"/>
                <w:sz w:val="16"/>
                <w:szCs w:val="16"/>
              </w:rPr>
              <w:t>Projected</w:t>
            </w:r>
            <w:r w:rsidRPr="00C32EDC">
              <w:rPr>
                <w:rFonts w:ascii="Arial" w:hAnsi="Arial" w:cs="Arial"/>
                <w:b/>
                <w:color w:val="000000" w:themeColor="text1"/>
                <w:spacing w:val="-6"/>
                <w:w w:val="105"/>
                <w:sz w:val="16"/>
                <w:szCs w:val="16"/>
              </w:rPr>
              <w:t xml:space="preserve"> </w:t>
            </w:r>
            <w:r w:rsidRPr="00C32EDC">
              <w:rPr>
                <w:rFonts w:ascii="Arial" w:hAnsi="Arial" w:cs="Arial"/>
                <w:b/>
                <w:color w:val="000000" w:themeColor="text1"/>
                <w:spacing w:val="-1"/>
                <w:w w:val="105"/>
                <w:sz w:val="16"/>
                <w:szCs w:val="16"/>
              </w:rPr>
              <w:t>value</w:t>
            </w:r>
            <w:r w:rsidRPr="00C32EDC">
              <w:rPr>
                <w:rFonts w:ascii="Arial" w:hAnsi="Arial" w:cs="Arial"/>
                <w:b/>
                <w:color w:val="000000" w:themeColor="text1"/>
                <w:spacing w:val="29"/>
                <w:w w:val="104"/>
                <w:sz w:val="16"/>
                <w:szCs w:val="16"/>
              </w:rPr>
              <w:t xml:space="preserve"> </w:t>
            </w:r>
            <w:r w:rsidR="008765C2" w:rsidRPr="00C32EDC">
              <w:rPr>
                <w:rFonts w:ascii="Arial" w:hAnsi="Arial" w:cs="Arial"/>
                <w:b/>
                <w:color w:val="000000" w:themeColor="text1"/>
                <w:spacing w:val="29"/>
                <w:w w:val="104"/>
                <w:sz w:val="16"/>
                <w:szCs w:val="16"/>
              </w:rPr>
              <w:t xml:space="preserve">in </w:t>
            </w:r>
            <w:r w:rsidR="008765C2" w:rsidRPr="00C32EDC">
              <w:rPr>
                <w:rFonts w:ascii="Arial" w:hAnsi="Arial" w:cs="Arial"/>
                <w:b/>
                <w:color w:val="000000" w:themeColor="text1"/>
                <w:spacing w:val="-1"/>
                <w:w w:val="105"/>
                <w:sz w:val="16"/>
                <w:szCs w:val="16"/>
              </w:rPr>
              <w:t xml:space="preserve">today’s money </w:t>
            </w:r>
            <w:r w:rsidRPr="00C32EDC">
              <w:rPr>
                <w:rFonts w:ascii="Arial" w:hAnsi="Arial" w:cs="Arial"/>
                <w:b/>
                <w:color w:val="000000" w:themeColor="text1"/>
                <w:spacing w:val="-1"/>
                <w:w w:val="105"/>
                <w:sz w:val="16"/>
                <w:szCs w:val="16"/>
              </w:rPr>
              <w:t>after</w:t>
            </w:r>
            <w:r w:rsidRPr="00C32EDC">
              <w:rPr>
                <w:rFonts w:ascii="Arial" w:hAnsi="Arial" w:cs="Arial"/>
                <w:b/>
                <w:color w:val="000000" w:themeColor="text1"/>
                <w:spacing w:val="-4"/>
                <w:w w:val="105"/>
                <w:sz w:val="16"/>
                <w:szCs w:val="16"/>
              </w:rPr>
              <w:t xml:space="preserve"> </w:t>
            </w:r>
            <w:r w:rsidRPr="00C32EDC">
              <w:rPr>
                <w:rFonts w:ascii="Arial" w:hAnsi="Arial" w:cs="Arial"/>
                <w:b/>
                <w:color w:val="000000" w:themeColor="text1"/>
                <w:spacing w:val="-1"/>
                <w:w w:val="105"/>
                <w:sz w:val="16"/>
                <w:szCs w:val="16"/>
              </w:rPr>
              <w:t>costs</w:t>
            </w:r>
            <w:r w:rsidRPr="00C32EDC">
              <w:rPr>
                <w:rFonts w:ascii="Arial" w:hAnsi="Arial" w:cs="Arial"/>
                <w:b/>
                <w:color w:val="000000" w:themeColor="text1"/>
                <w:spacing w:val="-3"/>
                <w:w w:val="105"/>
                <w:sz w:val="16"/>
                <w:szCs w:val="16"/>
              </w:rPr>
              <w:t xml:space="preserve"> </w:t>
            </w:r>
            <w:r w:rsidRPr="00C32EDC">
              <w:rPr>
                <w:rFonts w:ascii="Arial" w:hAnsi="Arial" w:cs="Arial"/>
                <w:b/>
                <w:color w:val="000000" w:themeColor="text1"/>
                <w:spacing w:val="-1"/>
                <w:w w:val="105"/>
                <w:sz w:val="16"/>
                <w:szCs w:val="16"/>
              </w:rPr>
              <w:t>and</w:t>
            </w:r>
            <w:r w:rsidRPr="00C32EDC">
              <w:rPr>
                <w:rFonts w:ascii="Arial" w:hAnsi="Arial" w:cs="Arial"/>
                <w:b/>
                <w:color w:val="000000" w:themeColor="text1"/>
                <w:spacing w:val="24"/>
                <w:w w:val="104"/>
                <w:sz w:val="16"/>
                <w:szCs w:val="16"/>
              </w:rPr>
              <w:t xml:space="preserve"> </w:t>
            </w:r>
            <w:r w:rsidRPr="00C32EDC">
              <w:rPr>
                <w:rFonts w:ascii="Arial" w:hAnsi="Arial" w:cs="Arial"/>
                <w:b/>
                <w:color w:val="000000" w:themeColor="text1"/>
                <w:spacing w:val="-1"/>
                <w:w w:val="105"/>
                <w:sz w:val="16"/>
                <w:szCs w:val="16"/>
              </w:rPr>
              <w:t>charges</w:t>
            </w:r>
            <w:r w:rsidRPr="00C32EDC">
              <w:rPr>
                <w:rFonts w:ascii="Arial" w:hAnsi="Arial" w:cs="Arial"/>
                <w:b/>
                <w:color w:val="000000" w:themeColor="text1"/>
                <w:spacing w:val="-6"/>
                <w:w w:val="105"/>
                <w:sz w:val="16"/>
                <w:szCs w:val="16"/>
              </w:rPr>
              <w:t xml:space="preserve"> </w:t>
            </w:r>
            <w:r w:rsidRPr="00C32EDC">
              <w:rPr>
                <w:rFonts w:ascii="Arial" w:hAnsi="Arial" w:cs="Arial"/>
                <w:b/>
                <w:color w:val="000000" w:themeColor="text1"/>
                <w:spacing w:val="-1"/>
                <w:w w:val="105"/>
                <w:sz w:val="16"/>
                <w:szCs w:val="16"/>
              </w:rPr>
              <w:t>are</w:t>
            </w:r>
            <w:r w:rsidRPr="00C32EDC">
              <w:rPr>
                <w:rFonts w:ascii="Arial" w:hAnsi="Arial" w:cs="Arial"/>
                <w:b/>
                <w:color w:val="000000" w:themeColor="text1"/>
                <w:spacing w:val="25"/>
                <w:w w:val="104"/>
                <w:sz w:val="16"/>
                <w:szCs w:val="16"/>
              </w:rPr>
              <w:t xml:space="preserve"> </w:t>
            </w:r>
            <w:r w:rsidRPr="00C32EDC">
              <w:rPr>
                <w:rFonts w:ascii="Arial" w:hAnsi="Arial" w:cs="Arial"/>
                <w:b/>
                <w:color w:val="000000" w:themeColor="text1"/>
                <w:spacing w:val="-1"/>
                <w:w w:val="105"/>
                <w:sz w:val="16"/>
                <w:szCs w:val="16"/>
              </w:rPr>
              <w:t>taken</w:t>
            </w:r>
          </w:p>
        </w:tc>
      </w:tr>
      <w:tr w:rsidR="00A51A9C" w:rsidRPr="00A51A9C" w14:paraId="19DF9D8D" w14:textId="77777777" w:rsidTr="00B62B92">
        <w:trPr>
          <w:trHeight w:hRule="exact" w:val="283"/>
        </w:trPr>
        <w:tc>
          <w:tcPr>
            <w:tcW w:w="936" w:type="dxa"/>
            <w:tcBorders>
              <w:top w:val="single" w:sz="8" w:space="0" w:color="000000"/>
              <w:left w:val="single" w:sz="8" w:space="0" w:color="000000"/>
              <w:right w:val="single" w:sz="8" w:space="0" w:color="000000"/>
            </w:tcBorders>
          </w:tcPr>
          <w:p w14:paraId="1940B69E" w14:textId="4C508FFA" w:rsidR="00B62B92" w:rsidRPr="00CF7ED5" w:rsidRDefault="00B62B92" w:rsidP="006419ED">
            <w:pPr>
              <w:pStyle w:val="TableParagraph"/>
              <w:spacing w:before="20"/>
              <w:ind w:left="5"/>
              <w:jc w:val="center"/>
              <w:rPr>
                <w:rFonts w:ascii="Arial" w:hAnsi="Arial" w:cs="Arial"/>
                <w:b/>
                <w:color w:val="000000" w:themeColor="text1"/>
                <w:w w:val="105"/>
                <w:sz w:val="16"/>
                <w:szCs w:val="16"/>
              </w:rPr>
            </w:pPr>
            <w:r w:rsidRPr="00CF7ED5">
              <w:rPr>
                <w:rFonts w:ascii="Arial" w:hAnsi="Arial" w:cs="Arial"/>
                <w:b/>
                <w:color w:val="000000" w:themeColor="text1"/>
                <w:w w:val="105"/>
                <w:sz w:val="16"/>
                <w:szCs w:val="16"/>
              </w:rPr>
              <w:t>0</w:t>
            </w:r>
          </w:p>
        </w:tc>
        <w:tc>
          <w:tcPr>
            <w:tcW w:w="1339" w:type="dxa"/>
            <w:tcBorders>
              <w:top w:val="single" w:sz="8" w:space="0" w:color="000000"/>
              <w:left w:val="single" w:sz="8" w:space="0" w:color="000000"/>
              <w:right w:val="single" w:sz="8" w:space="0" w:color="000000"/>
            </w:tcBorders>
          </w:tcPr>
          <w:p w14:paraId="62AA96D9" w14:textId="39B393F4" w:rsidR="00B62B92" w:rsidRPr="00C216FC" w:rsidRDefault="00BF4D1E" w:rsidP="000A7A58">
            <w:pPr>
              <w:pStyle w:val="TableParagraph"/>
              <w:spacing w:before="20"/>
              <w:jc w:val="center"/>
              <w:rPr>
                <w:rFonts w:ascii="Arial" w:eastAsia="Source Sans Pro" w:hAnsi="Arial" w:cs="Arial"/>
                <w:color w:val="000000" w:themeColor="text1"/>
                <w:sz w:val="16"/>
                <w:szCs w:val="16"/>
              </w:rPr>
            </w:pPr>
            <w:r w:rsidRPr="00C216FC">
              <w:rPr>
                <w:rFonts w:ascii="Arial" w:eastAsia="Source Sans Pro" w:hAnsi="Arial" w:cs="Arial"/>
                <w:color w:val="000000" w:themeColor="text1"/>
                <w:sz w:val="16"/>
                <w:szCs w:val="16"/>
              </w:rPr>
              <w:t>£25,000</w:t>
            </w:r>
          </w:p>
        </w:tc>
        <w:tc>
          <w:tcPr>
            <w:tcW w:w="1339" w:type="dxa"/>
            <w:tcBorders>
              <w:top w:val="single" w:sz="8" w:space="0" w:color="000000"/>
              <w:left w:val="single" w:sz="8" w:space="0" w:color="000000"/>
              <w:right w:val="single" w:sz="8" w:space="0" w:color="000000"/>
            </w:tcBorders>
          </w:tcPr>
          <w:p w14:paraId="4569FFAA" w14:textId="21964112" w:rsidR="00B62B92" w:rsidRPr="00C216FC" w:rsidRDefault="000D6880" w:rsidP="000A7A58">
            <w:pPr>
              <w:pStyle w:val="TableParagraph"/>
              <w:spacing w:before="20"/>
              <w:jc w:val="center"/>
              <w:rPr>
                <w:rFonts w:ascii="Arial" w:eastAsia="Source Sans Pro" w:hAnsi="Arial" w:cs="Arial"/>
                <w:color w:val="000000" w:themeColor="text1"/>
                <w:sz w:val="16"/>
                <w:szCs w:val="16"/>
              </w:rPr>
            </w:pPr>
            <w:r w:rsidRPr="00C216FC">
              <w:rPr>
                <w:rFonts w:ascii="Arial" w:eastAsia="Source Sans Pro" w:hAnsi="Arial" w:cs="Arial"/>
                <w:color w:val="000000" w:themeColor="text1"/>
                <w:sz w:val="16"/>
                <w:szCs w:val="16"/>
              </w:rPr>
              <w:t>£25,000</w:t>
            </w:r>
          </w:p>
        </w:tc>
        <w:tc>
          <w:tcPr>
            <w:tcW w:w="1339" w:type="dxa"/>
            <w:tcBorders>
              <w:top w:val="single" w:sz="8" w:space="0" w:color="000000"/>
              <w:left w:val="single" w:sz="8" w:space="0" w:color="000000"/>
              <w:right w:val="single" w:sz="8" w:space="0" w:color="000000"/>
            </w:tcBorders>
          </w:tcPr>
          <w:p w14:paraId="0E81E7C4" w14:textId="25172104" w:rsidR="00B62B92" w:rsidRPr="00381AA3" w:rsidRDefault="00EA19F9" w:rsidP="000A7A58">
            <w:pPr>
              <w:pStyle w:val="TableParagraph"/>
              <w:spacing w:before="20"/>
              <w:jc w:val="center"/>
              <w:rPr>
                <w:rFonts w:ascii="Arial" w:eastAsia="Source Sans Pro" w:hAnsi="Arial" w:cs="Arial"/>
                <w:color w:val="000000" w:themeColor="text1"/>
                <w:sz w:val="16"/>
                <w:szCs w:val="16"/>
              </w:rPr>
            </w:pPr>
            <w:r w:rsidRPr="00381AA3">
              <w:rPr>
                <w:rFonts w:ascii="Arial" w:eastAsia="Source Sans Pro" w:hAnsi="Arial" w:cs="Arial"/>
                <w:color w:val="000000" w:themeColor="text1"/>
                <w:sz w:val="16"/>
                <w:szCs w:val="16"/>
              </w:rPr>
              <w:t>£25,000</w:t>
            </w:r>
          </w:p>
        </w:tc>
        <w:tc>
          <w:tcPr>
            <w:tcW w:w="1339" w:type="dxa"/>
            <w:tcBorders>
              <w:top w:val="single" w:sz="8" w:space="0" w:color="000000"/>
              <w:left w:val="single" w:sz="8" w:space="0" w:color="000000"/>
              <w:right w:val="single" w:sz="8" w:space="0" w:color="000000"/>
            </w:tcBorders>
          </w:tcPr>
          <w:p w14:paraId="28A4F6DD" w14:textId="723E8479" w:rsidR="00B62B92" w:rsidRPr="00381AA3" w:rsidRDefault="00EA19F9" w:rsidP="000A7A58">
            <w:pPr>
              <w:pStyle w:val="TableParagraph"/>
              <w:spacing w:before="20"/>
              <w:jc w:val="center"/>
              <w:rPr>
                <w:rFonts w:ascii="Arial" w:eastAsia="Source Sans Pro" w:hAnsi="Arial" w:cs="Arial"/>
                <w:color w:val="000000" w:themeColor="text1"/>
                <w:sz w:val="16"/>
                <w:szCs w:val="16"/>
              </w:rPr>
            </w:pPr>
            <w:r w:rsidRPr="00381AA3">
              <w:rPr>
                <w:rFonts w:ascii="Arial" w:eastAsia="Source Sans Pro" w:hAnsi="Arial" w:cs="Arial"/>
                <w:color w:val="000000" w:themeColor="text1"/>
                <w:sz w:val="16"/>
                <w:szCs w:val="16"/>
              </w:rPr>
              <w:t>£25,000</w:t>
            </w:r>
          </w:p>
        </w:tc>
        <w:tc>
          <w:tcPr>
            <w:tcW w:w="1339" w:type="dxa"/>
            <w:tcBorders>
              <w:top w:val="single" w:sz="8" w:space="0" w:color="000000"/>
              <w:left w:val="single" w:sz="8" w:space="0" w:color="000000"/>
              <w:right w:val="single" w:sz="8" w:space="0" w:color="000000"/>
            </w:tcBorders>
          </w:tcPr>
          <w:p w14:paraId="5B9F39A6" w14:textId="49C73EAB" w:rsidR="00B62B92" w:rsidRPr="00381AA3" w:rsidRDefault="00EA19F9" w:rsidP="000A7A58">
            <w:pPr>
              <w:pStyle w:val="TableParagraph"/>
              <w:spacing w:before="20"/>
              <w:jc w:val="center"/>
              <w:rPr>
                <w:rFonts w:ascii="Arial" w:eastAsia="Source Sans Pro" w:hAnsi="Arial" w:cs="Arial"/>
                <w:color w:val="000000" w:themeColor="text1"/>
                <w:sz w:val="16"/>
                <w:szCs w:val="16"/>
              </w:rPr>
            </w:pPr>
            <w:r w:rsidRPr="00381AA3">
              <w:rPr>
                <w:rFonts w:ascii="Arial" w:eastAsia="Source Sans Pro" w:hAnsi="Arial" w:cs="Arial"/>
                <w:color w:val="000000" w:themeColor="text1"/>
                <w:sz w:val="16"/>
                <w:szCs w:val="16"/>
              </w:rPr>
              <w:t>£25,000</w:t>
            </w:r>
          </w:p>
        </w:tc>
        <w:tc>
          <w:tcPr>
            <w:tcW w:w="1339" w:type="dxa"/>
            <w:tcBorders>
              <w:top w:val="single" w:sz="8" w:space="0" w:color="000000"/>
              <w:left w:val="single" w:sz="8" w:space="0" w:color="000000"/>
              <w:right w:val="single" w:sz="8" w:space="0" w:color="000000"/>
            </w:tcBorders>
          </w:tcPr>
          <w:p w14:paraId="06738C72" w14:textId="3C4AF50A" w:rsidR="00B62B92" w:rsidRPr="001427F1" w:rsidRDefault="00EA19F9" w:rsidP="000A7A58">
            <w:pPr>
              <w:pStyle w:val="TableParagraph"/>
              <w:spacing w:before="20"/>
              <w:jc w:val="center"/>
              <w:rPr>
                <w:rFonts w:ascii="Arial" w:eastAsia="Source Sans Pro" w:hAnsi="Arial" w:cs="Arial"/>
                <w:color w:val="FF0000"/>
                <w:sz w:val="16"/>
                <w:szCs w:val="16"/>
              </w:rPr>
            </w:pPr>
            <w:r w:rsidRPr="00997F53">
              <w:rPr>
                <w:rFonts w:ascii="Arial" w:eastAsia="Source Sans Pro" w:hAnsi="Arial" w:cs="Arial"/>
                <w:color w:val="000000" w:themeColor="text1"/>
                <w:sz w:val="16"/>
                <w:szCs w:val="16"/>
              </w:rPr>
              <w:t>£25,000</w:t>
            </w:r>
          </w:p>
        </w:tc>
      </w:tr>
      <w:tr w:rsidR="00A51A9C" w:rsidRPr="00A51A9C" w14:paraId="7D4098BB" w14:textId="77777777" w:rsidTr="00B62B92">
        <w:trPr>
          <w:trHeight w:hRule="exact" w:val="283"/>
        </w:trPr>
        <w:tc>
          <w:tcPr>
            <w:tcW w:w="936" w:type="dxa"/>
            <w:tcBorders>
              <w:left w:val="single" w:sz="8" w:space="0" w:color="000000"/>
              <w:bottom w:val="nil"/>
              <w:right w:val="single" w:sz="8" w:space="0" w:color="000000"/>
            </w:tcBorders>
          </w:tcPr>
          <w:p w14:paraId="198AC37B" w14:textId="77777777" w:rsidR="00D42674" w:rsidRPr="00CF7ED5" w:rsidRDefault="00D42674" w:rsidP="00D42674">
            <w:pPr>
              <w:pStyle w:val="TableParagraph"/>
              <w:spacing w:before="20"/>
              <w:ind w:left="5"/>
              <w:jc w:val="center"/>
              <w:rPr>
                <w:rFonts w:ascii="Arial" w:eastAsia="Source Sans Pro" w:hAnsi="Arial" w:cs="Arial"/>
                <w:color w:val="000000" w:themeColor="text1"/>
                <w:sz w:val="16"/>
                <w:szCs w:val="16"/>
              </w:rPr>
            </w:pPr>
            <w:r w:rsidRPr="00CF7ED5">
              <w:rPr>
                <w:rFonts w:ascii="Arial" w:hAnsi="Arial" w:cs="Arial"/>
                <w:b/>
                <w:color w:val="000000" w:themeColor="text1"/>
                <w:w w:val="105"/>
                <w:sz w:val="16"/>
                <w:szCs w:val="16"/>
              </w:rPr>
              <w:t>1</w:t>
            </w:r>
          </w:p>
        </w:tc>
        <w:tc>
          <w:tcPr>
            <w:tcW w:w="1339" w:type="dxa"/>
            <w:tcBorders>
              <w:left w:val="single" w:sz="8" w:space="0" w:color="000000"/>
              <w:bottom w:val="nil"/>
              <w:right w:val="single" w:sz="8" w:space="0" w:color="000000"/>
            </w:tcBorders>
          </w:tcPr>
          <w:p w14:paraId="7B7A0EA9" w14:textId="6F72B1E1" w:rsidR="00D42674" w:rsidRPr="00C216FC" w:rsidRDefault="00D42674" w:rsidP="00D42674">
            <w:pPr>
              <w:pStyle w:val="TableParagraph"/>
              <w:spacing w:before="20"/>
              <w:jc w:val="center"/>
              <w:rPr>
                <w:rFonts w:ascii="Arial" w:eastAsia="Source Sans Pro" w:hAnsi="Arial" w:cs="Arial"/>
                <w:color w:val="000000" w:themeColor="text1"/>
                <w:sz w:val="16"/>
                <w:szCs w:val="16"/>
              </w:rPr>
            </w:pPr>
            <w:r w:rsidRPr="00C216FC">
              <w:rPr>
                <w:color w:val="000000" w:themeColor="text1"/>
                <w:spacing w:val="-2"/>
                <w:sz w:val="16"/>
              </w:rPr>
              <w:t>£25,</w:t>
            </w:r>
            <w:r w:rsidR="00CD538E" w:rsidRPr="00C216FC">
              <w:rPr>
                <w:color w:val="000000" w:themeColor="text1"/>
                <w:spacing w:val="-2"/>
                <w:sz w:val="16"/>
              </w:rPr>
              <w:t>5</w:t>
            </w:r>
            <w:r w:rsidR="00CF7ED5" w:rsidRPr="00C216FC">
              <w:rPr>
                <w:color w:val="000000" w:themeColor="text1"/>
                <w:spacing w:val="-2"/>
                <w:sz w:val="16"/>
              </w:rPr>
              <w:t>00</w:t>
            </w:r>
          </w:p>
        </w:tc>
        <w:tc>
          <w:tcPr>
            <w:tcW w:w="1339" w:type="dxa"/>
            <w:tcBorders>
              <w:left w:val="single" w:sz="8" w:space="0" w:color="000000"/>
              <w:bottom w:val="nil"/>
              <w:right w:val="single" w:sz="8" w:space="0" w:color="000000"/>
            </w:tcBorders>
          </w:tcPr>
          <w:p w14:paraId="14916674" w14:textId="27639F6B" w:rsidR="00D42674" w:rsidRPr="00C216FC" w:rsidRDefault="00D42674" w:rsidP="00D42674">
            <w:pPr>
              <w:pStyle w:val="TableParagraph"/>
              <w:spacing w:before="20"/>
              <w:jc w:val="center"/>
              <w:rPr>
                <w:rFonts w:ascii="Arial" w:eastAsia="Source Sans Pro" w:hAnsi="Arial" w:cs="Arial"/>
                <w:color w:val="000000" w:themeColor="text1"/>
                <w:sz w:val="16"/>
                <w:szCs w:val="16"/>
              </w:rPr>
            </w:pPr>
            <w:r w:rsidRPr="00C216FC">
              <w:rPr>
                <w:color w:val="000000" w:themeColor="text1"/>
                <w:spacing w:val="-2"/>
                <w:sz w:val="16"/>
              </w:rPr>
              <w:t>£25,</w:t>
            </w:r>
            <w:r w:rsidR="00CD538E" w:rsidRPr="00C216FC">
              <w:rPr>
                <w:color w:val="000000" w:themeColor="text1"/>
                <w:spacing w:val="-2"/>
                <w:sz w:val="16"/>
              </w:rPr>
              <w:t>4</w:t>
            </w:r>
            <w:r w:rsidR="00CF7ED5" w:rsidRPr="00C216FC">
              <w:rPr>
                <w:color w:val="000000" w:themeColor="text1"/>
                <w:spacing w:val="-2"/>
                <w:sz w:val="16"/>
              </w:rPr>
              <w:t>00</w:t>
            </w:r>
          </w:p>
        </w:tc>
        <w:tc>
          <w:tcPr>
            <w:tcW w:w="1339" w:type="dxa"/>
            <w:tcBorders>
              <w:left w:val="single" w:sz="8" w:space="0" w:color="000000"/>
              <w:bottom w:val="nil"/>
              <w:right w:val="single" w:sz="8" w:space="0" w:color="000000"/>
            </w:tcBorders>
          </w:tcPr>
          <w:p w14:paraId="291429C3" w14:textId="0FC4BD4E" w:rsidR="00D42674" w:rsidRPr="00381AA3" w:rsidRDefault="00D42674" w:rsidP="00D42674">
            <w:pPr>
              <w:pStyle w:val="TableParagraph"/>
              <w:spacing w:before="20"/>
              <w:jc w:val="center"/>
              <w:rPr>
                <w:rFonts w:ascii="Arial" w:eastAsia="Source Sans Pro" w:hAnsi="Arial" w:cs="Arial"/>
                <w:color w:val="000000" w:themeColor="text1"/>
                <w:sz w:val="16"/>
                <w:szCs w:val="16"/>
              </w:rPr>
            </w:pPr>
            <w:r w:rsidRPr="00381AA3">
              <w:rPr>
                <w:color w:val="000000" w:themeColor="text1"/>
                <w:spacing w:val="-2"/>
                <w:sz w:val="16"/>
              </w:rPr>
              <w:t>£2</w:t>
            </w:r>
            <w:r w:rsidR="00B1401F">
              <w:rPr>
                <w:color w:val="000000" w:themeColor="text1"/>
                <w:spacing w:val="-2"/>
                <w:sz w:val="16"/>
              </w:rPr>
              <w:t>5</w:t>
            </w:r>
            <w:r w:rsidRPr="00381AA3">
              <w:rPr>
                <w:color w:val="000000" w:themeColor="text1"/>
                <w:spacing w:val="-2"/>
                <w:sz w:val="16"/>
              </w:rPr>
              <w:t>,600</w:t>
            </w:r>
          </w:p>
        </w:tc>
        <w:tc>
          <w:tcPr>
            <w:tcW w:w="1339" w:type="dxa"/>
            <w:tcBorders>
              <w:left w:val="single" w:sz="8" w:space="0" w:color="000000"/>
              <w:bottom w:val="nil"/>
              <w:right w:val="single" w:sz="8" w:space="0" w:color="000000"/>
            </w:tcBorders>
          </w:tcPr>
          <w:p w14:paraId="0592EB78" w14:textId="4F211332" w:rsidR="00D42674" w:rsidRPr="00381AA3" w:rsidRDefault="00D42674" w:rsidP="00D42674">
            <w:pPr>
              <w:pStyle w:val="TableParagraph"/>
              <w:spacing w:before="20"/>
              <w:jc w:val="center"/>
              <w:rPr>
                <w:rFonts w:ascii="Arial" w:eastAsia="Source Sans Pro" w:hAnsi="Arial" w:cs="Arial"/>
                <w:color w:val="000000" w:themeColor="text1"/>
                <w:sz w:val="16"/>
                <w:szCs w:val="16"/>
              </w:rPr>
            </w:pPr>
            <w:r w:rsidRPr="00381AA3">
              <w:rPr>
                <w:color w:val="000000" w:themeColor="text1"/>
                <w:spacing w:val="-2"/>
                <w:sz w:val="16"/>
              </w:rPr>
              <w:t>£25,</w:t>
            </w:r>
            <w:r w:rsidR="00381AA3" w:rsidRPr="00381AA3">
              <w:rPr>
                <w:color w:val="000000" w:themeColor="text1"/>
                <w:spacing w:val="-2"/>
                <w:sz w:val="16"/>
              </w:rPr>
              <w:t>4</w:t>
            </w:r>
            <w:r w:rsidRPr="00381AA3">
              <w:rPr>
                <w:color w:val="000000" w:themeColor="text1"/>
                <w:spacing w:val="-2"/>
                <w:sz w:val="16"/>
              </w:rPr>
              <w:t>00</w:t>
            </w:r>
          </w:p>
        </w:tc>
        <w:tc>
          <w:tcPr>
            <w:tcW w:w="1339" w:type="dxa"/>
            <w:tcBorders>
              <w:left w:val="single" w:sz="8" w:space="0" w:color="000000"/>
              <w:bottom w:val="nil"/>
              <w:right w:val="single" w:sz="8" w:space="0" w:color="000000"/>
            </w:tcBorders>
          </w:tcPr>
          <w:p w14:paraId="706014F6" w14:textId="436C4E25" w:rsidR="00D42674" w:rsidRPr="00997F53" w:rsidRDefault="00D42674" w:rsidP="00D42674">
            <w:pPr>
              <w:pStyle w:val="TableParagraph"/>
              <w:spacing w:before="20"/>
              <w:jc w:val="center"/>
              <w:rPr>
                <w:rFonts w:ascii="Arial" w:eastAsia="Source Sans Pro" w:hAnsi="Arial" w:cs="Arial"/>
                <w:color w:val="000000" w:themeColor="text1"/>
                <w:sz w:val="16"/>
                <w:szCs w:val="16"/>
              </w:rPr>
            </w:pPr>
            <w:r w:rsidRPr="00997F53">
              <w:rPr>
                <w:color w:val="000000" w:themeColor="text1"/>
                <w:spacing w:val="-2"/>
                <w:sz w:val="16"/>
              </w:rPr>
              <w:t>£25,</w:t>
            </w:r>
            <w:r w:rsidR="00997F53" w:rsidRPr="00997F53">
              <w:rPr>
                <w:color w:val="000000" w:themeColor="text1"/>
                <w:spacing w:val="-2"/>
                <w:sz w:val="16"/>
              </w:rPr>
              <w:t>4</w:t>
            </w:r>
            <w:r w:rsidRPr="00997F53">
              <w:rPr>
                <w:color w:val="000000" w:themeColor="text1"/>
                <w:spacing w:val="-2"/>
                <w:sz w:val="16"/>
              </w:rPr>
              <w:t>00</w:t>
            </w:r>
          </w:p>
        </w:tc>
        <w:tc>
          <w:tcPr>
            <w:tcW w:w="1339" w:type="dxa"/>
            <w:tcBorders>
              <w:left w:val="single" w:sz="8" w:space="0" w:color="000000"/>
              <w:bottom w:val="nil"/>
              <w:right w:val="single" w:sz="8" w:space="0" w:color="000000"/>
            </w:tcBorders>
          </w:tcPr>
          <w:p w14:paraId="31110E50" w14:textId="537DAA18" w:rsidR="00D42674" w:rsidRPr="00997F53" w:rsidRDefault="00D42674" w:rsidP="00D42674">
            <w:pPr>
              <w:pStyle w:val="TableParagraph"/>
              <w:spacing w:before="20"/>
              <w:jc w:val="center"/>
              <w:rPr>
                <w:rFonts w:ascii="Arial" w:eastAsia="Source Sans Pro" w:hAnsi="Arial" w:cs="Arial"/>
                <w:color w:val="000000" w:themeColor="text1"/>
                <w:sz w:val="16"/>
                <w:szCs w:val="16"/>
              </w:rPr>
            </w:pPr>
            <w:r w:rsidRPr="00997F53">
              <w:rPr>
                <w:color w:val="000000" w:themeColor="text1"/>
                <w:spacing w:val="-2"/>
                <w:sz w:val="16"/>
              </w:rPr>
              <w:t>£2</w:t>
            </w:r>
            <w:r w:rsidR="0092082A" w:rsidRPr="00997F53">
              <w:rPr>
                <w:color w:val="000000" w:themeColor="text1"/>
                <w:spacing w:val="-2"/>
                <w:sz w:val="16"/>
              </w:rPr>
              <w:t>5</w:t>
            </w:r>
            <w:r w:rsidRPr="00997F53">
              <w:rPr>
                <w:color w:val="000000" w:themeColor="text1"/>
                <w:spacing w:val="-2"/>
                <w:sz w:val="16"/>
              </w:rPr>
              <w:t>,</w:t>
            </w:r>
            <w:r w:rsidR="0092082A" w:rsidRPr="00997F53">
              <w:rPr>
                <w:color w:val="000000" w:themeColor="text1"/>
                <w:spacing w:val="-2"/>
                <w:sz w:val="16"/>
              </w:rPr>
              <w:t>3</w:t>
            </w:r>
            <w:r w:rsidRPr="00997F53">
              <w:rPr>
                <w:color w:val="000000" w:themeColor="text1"/>
                <w:spacing w:val="-2"/>
                <w:sz w:val="16"/>
              </w:rPr>
              <w:t>00</w:t>
            </w:r>
          </w:p>
        </w:tc>
      </w:tr>
      <w:tr w:rsidR="00A51A9C" w:rsidRPr="00A51A9C" w14:paraId="2A28F7CB" w14:textId="77777777" w:rsidTr="00B62B92">
        <w:trPr>
          <w:trHeight w:hRule="exact" w:val="281"/>
        </w:trPr>
        <w:tc>
          <w:tcPr>
            <w:tcW w:w="936" w:type="dxa"/>
            <w:tcBorders>
              <w:top w:val="nil"/>
              <w:left w:val="single" w:sz="8" w:space="0" w:color="000000"/>
              <w:bottom w:val="nil"/>
              <w:right w:val="single" w:sz="8" w:space="0" w:color="000000"/>
            </w:tcBorders>
          </w:tcPr>
          <w:p w14:paraId="32302E07" w14:textId="77777777" w:rsidR="00D42674" w:rsidRPr="00CF7ED5" w:rsidRDefault="00D42674" w:rsidP="00D42674">
            <w:pPr>
              <w:pStyle w:val="TableParagraph"/>
              <w:spacing w:before="28"/>
              <w:ind w:left="5"/>
              <w:jc w:val="center"/>
              <w:rPr>
                <w:rFonts w:ascii="Arial" w:eastAsia="Source Sans Pro" w:hAnsi="Arial" w:cs="Arial"/>
                <w:color w:val="000000" w:themeColor="text1"/>
                <w:sz w:val="16"/>
                <w:szCs w:val="16"/>
              </w:rPr>
            </w:pPr>
            <w:r w:rsidRPr="00CF7ED5">
              <w:rPr>
                <w:rFonts w:ascii="Arial" w:hAnsi="Arial" w:cs="Arial"/>
                <w:b/>
                <w:color w:val="000000" w:themeColor="text1"/>
                <w:w w:val="105"/>
                <w:sz w:val="16"/>
                <w:szCs w:val="16"/>
              </w:rPr>
              <w:t>2</w:t>
            </w:r>
          </w:p>
        </w:tc>
        <w:tc>
          <w:tcPr>
            <w:tcW w:w="1339" w:type="dxa"/>
            <w:tcBorders>
              <w:top w:val="nil"/>
              <w:left w:val="single" w:sz="8" w:space="0" w:color="000000"/>
              <w:bottom w:val="nil"/>
              <w:right w:val="single" w:sz="8" w:space="0" w:color="000000"/>
            </w:tcBorders>
          </w:tcPr>
          <w:p w14:paraId="7D629230" w14:textId="587F6C48" w:rsidR="00D42674" w:rsidRPr="00C216FC" w:rsidRDefault="00D42674" w:rsidP="00D42674">
            <w:pPr>
              <w:pStyle w:val="TableParagraph"/>
              <w:spacing w:before="28"/>
              <w:jc w:val="center"/>
              <w:rPr>
                <w:rFonts w:ascii="Arial" w:eastAsia="Source Sans Pro" w:hAnsi="Arial" w:cs="Arial"/>
                <w:color w:val="000000" w:themeColor="text1"/>
                <w:sz w:val="16"/>
                <w:szCs w:val="16"/>
              </w:rPr>
            </w:pPr>
            <w:r w:rsidRPr="00C216FC">
              <w:rPr>
                <w:color w:val="000000" w:themeColor="text1"/>
                <w:spacing w:val="-2"/>
                <w:sz w:val="16"/>
              </w:rPr>
              <w:t>£2</w:t>
            </w:r>
            <w:r w:rsidR="00CF7ED5" w:rsidRPr="00C216FC">
              <w:rPr>
                <w:color w:val="000000" w:themeColor="text1"/>
                <w:spacing w:val="-2"/>
                <w:sz w:val="16"/>
              </w:rPr>
              <w:t>6</w:t>
            </w:r>
            <w:r w:rsidRPr="00C216FC">
              <w:rPr>
                <w:color w:val="000000" w:themeColor="text1"/>
                <w:spacing w:val="-2"/>
                <w:sz w:val="16"/>
              </w:rPr>
              <w:t>,</w:t>
            </w:r>
            <w:r w:rsidR="00CD538E" w:rsidRPr="00C216FC">
              <w:rPr>
                <w:color w:val="000000" w:themeColor="text1"/>
                <w:spacing w:val="-2"/>
                <w:sz w:val="16"/>
              </w:rPr>
              <w:t>0</w:t>
            </w:r>
            <w:r w:rsidR="00CF7ED5" w:rsidRPr="00C216FC">
              <w:rPr>
                <w:color w:val="000000" w:themeColor="text1"/>
                <w:spacing w:val="-2"/>
                <w:sz w:val="16"/>
              </w:rPr>
              <w:t>00</w:t>
            </w:r>
          </w:p>
        </w:tc>
        <w:tc>
          <w:tcPr>
            <w:tcW w:w="1339" w:type="dxa"/>
            <w:tcBorders>
              <w:top w:val="nil"/>
              <w:left w:val="single" w:sz="8" w:space="0" w:color="000000"/>
              <w:bottom w:val="nil"/>
              <w:right w:val="single" w:sz="8" w:space="0" w:color="000000"/>
            </w:tcBorders>
          </w:tcPr>
          <w:p w14:paraId="498F3EDD" w14:textId="3D6CF806" w:rsidR="00D42674" w:rsidRPr="00C216FC" w:rsidRDefault="00D42674" w:rsidP="00D42674">
            <w:pPr>
              <w:pStyle w:val="TableParagraph"/>
              <w:spacing w:before="28"/>
              <w:jc w:val="center"/>
              <w:rPr>
                <w:rFonts w:ascii="Arial" w:eastAsia="Source Sans Pro" w:hAnsi="Arial" w:cs="Arial"/>
                <w:color w:val="000000" w:themeColor="text1"/>
                <w:sz w:val="16"/>
                <w:szCs w:val="16"/>
              </w:rPr>
            </w:pPr>
            <w:r w:rsidRPr="00C216FC">
              <w:rPr>
                <w:color w:val="000000" w:themeColor="text1"/>
                <w:spacing w:val="-2"/>
                <w:sz w:val="16"/>
              </w:rPr>
              <w:t>£2</w:t>
            </w:r>
            <w:r w:rsidR="00CD538E" w:rsidRPr="00C216FC">
              <w:rPr>
                <w:color w:val="000000" w:themeColor="text1"/>
                <w:spacing w:val="-2"/>
                <w:sz w:val="16"/>
              </w:rPr>
              <w:t>5</w:t>
            </w:r>
            <w:r w:rsidRPr="00C216FC">
              <w:rPr>
                <w:color w:val="000000" w:themeColor="text1"/>
                <w:spacing w:val="-2"/>
                <w:sz w:val="16"/>
              </w:rPr>
              <w:t>,</w:t>
            </w:r>
            <w:r w:rsidR="00CD538E" w:rsidRPr="00C216FC">
              <w:rPr>
                <w:color w:val="000000" w:themeColor="text1"/>
                <w:spacing w:val="-2"/>
                <w:sz w:val="16"/>
              </w:rPr>
              <w:t>7</w:t>
            </w:r>
            <w:r w:rsidR="00CF7ED5" w:rsidRPr="00C216FC">
              <w:rPr>
                <w:color w:val="000000" w:themeColor="text1"/>
                <w:spacing w:val="-2"/>
                <w:sz w:val="16"/>
              </w:rPr>
              <w:t>00</w:t>
            </w:r>
          </w:p>
        </w:tc>
        <w:tc>
          <w:tcPr>
            <w:tcW w:w="1339" w:type="dxa"/>
            <w:tcBorders>
              <w:top w:val="nil"/>
              <w:left w:val="single" w:sz="8" w:space="0" w:color="000000"/>
              <w:bottom w:val="nil"/>
              <w:right w:val="single" w:sz="8" w:space="0" w:color="000000"/>
            </w:tcBorders>
          </w:tcPr>
          <w:p w14:paraId="176B6ED7" w14:textId="482B71A0" w:rsidR="00D42674" w:rsidRPr="00381AA3" w:rsidRDefault="00D42674" w:rsidP="00D42674">
            <w:pPr>
              <w:pStyle w:val="TableParagraph"/>
              <w:spacing w:before="28"/>
              <w:jc w:val="center"/>
              <w:rPr>
                <w:rFonts w:ascii="Arial" w:eastAsia="Source Sans Pro" w:hAnsi="Arial" w:cs="Arial"/>
                <w:color w:val="000000" w:themeColor="text1"/>
                <w:sz w:val="16"/>
                <w:szCs w:val="16"/>
              </w:rPr>
            </w:pPr>
            <w:r w:rsidRPr="00381AA3">
              <w:rPr>
                <w:color w:val="000000" w:themeColor="text1"/>
                <w:spacing w:val="-2"/>
                <w:sz w:val="16"/>
              </w:rPr>
              <w:t>£2</w:t>
            </w:r>
            <w:r w:rsidR="00381AA3" w:rsidRPr="00381AA3">
              <w:rPr>
                <w:color w:val="000000" w:themeColor="text1"/>
                <w:spacing w:val="-2"/>
                <w:sz w:val="16"/>
              </w:rPr>
              <w:t>6</w:t>
            </w:r>
            <w:r w:rsidRPr="00381AA3">
              <w:rPr>
                <w:color w:val="000000" w:themeColor="text1"/>
                <w:spacing w:val="-2"/>
                <w:sz w:val="16"/>
              </w:rPr>
              <w:t>,</w:t>
            </w:r>
            <w:r w:rsidR="00381AA3" w:rsidRPr="00381AA3">
              <w:rPr>
                <w:color w:val="000000" w:themeColor="text1"/>
                <w:spacing w:val="-2"/>
                <w:sz w:val="16"/>
              </w:rPr>
              <w:t>2</w:t>
            </w:r>
            <w:r w:rsidRPr="00381AA3">
              <w:rPr>
                <w:color w:val="000000" w:themeColor="text1"/>
                <w:spacing w:val="-2"/>
                <w:sz w:val="16"/>
              </w:rPr>
              <w:t>00</w:t>
            </w:r>
          </w:p>
        </w:tc>
        <w:tc>
          <w:tcPr>
            <w:tcW w:w="1339" w:type="dxa"/>
            <w:tcBorders>
              <w:top w:val="nil"/>
              <w:left w:val="single" w:sz="8" w:space="0" w:color="000000"/>
              <w:bottom w:val="nil"/>
              <w:right w:val="single" w:sz="8" w:space="0" w:color="000000"/>
            </w:tcBorders>
          </w:tcPr>
          <w:p w14:paraId="0F87FDAF" w14:textId="5C570FA2" w:rsidR="00D42674" w:rsidRPr="00381AA3" w:rsidRDefault="00D42674" w:rsidP="00D42674">
            <w:pPr>
              <w:pStyle w:val="TableParagraph"/>
              <w:spacing w:before="28"/>
              <w:jc w:val="center"/>
              <w:rPr>
                <w:rFonts w:ascii="Arial" w:eastAsia="Source Sans Pro" w:hAnsi="Arial" w:cs="Arial"/>
                <w:color w:val="000000" w:themeColor="text1"/>
                <w:sz w:val="16"/>
                <w:szCs w:val="16"/>
              </w:rPr>
            </w:pPr>
            <w:r w:rsidRPr="00381AA3">
              <w:rPr>
                <w:color w:val="000000" w:themeColor="text1"/>
                <w:spacing w:val="-2"/>
                <w:sz w:val="16"/>
              </w:rPr>
              <w:t>£2</w:t>
            </w:r>
            <w:r w:rsidR="00381AA3" w:rsidRPr="00381AA3">
              <w:rPr>
                <w:color w:val="000000" w:themeColor="text1"/>
                <w:spacing w:val="-2"/>
                <w:sz w:val="16"/>
              </w:rPr>
              <w:t>5</w:t>
            </w:r>
            <w:r w:rsidRPr="00381AA3">
              <w:rPr>
                <w:color w:val="000000" w:themeColor="text1"/>
                <w:spacing w:val="-2"/>
                <w:sz w:val="16"/>
              </w:rPr>
              <w:t>,</w:t>
            </w:r>
            <w:r w:rsidR="00381AA3" w:rsidRPr="00381AA3">
              <w:rPr>
                <w:color w:val="000000" w:themeColor="text1"/>
                <w:spacing w:val="-2"/>
                <w:sz w:val="16"/>
              </w:rPr>
              <w:t>9</w:t>
            </w:r>
            <w:r w:rsidRPr="00381AA3">
              <w:rPr>
                <w:color w:val="000000" w:themeColor="text1"/>
                <w:spacing w:val="-2"/>
                <w:sz w:val="16"/>
              </w:rPr>
              <w:t>00</w:t>
            </w:r>
          </w:p>
        </w:tc>
        <w:tc>
          <w:tcPr>
            <w:tcW w:w="1339" w:type="dxa"/>
            <w:tcBorders>
              <w:top w:val="nil"/>
              <w:left w:val="single" w:sz="8" w:space="0" w:color="000000"/>
              <w:bottom w:val="nil"/>
              <w:right w:val="single" w:sz="8" w:space="0" w:color="000000"/>
            </w:tcBorders>
          </w:tcPr>
          <w:p w14:paraId="6F1BD24D" w14:textId="09F7F1DA" w:rsidR="00D42674" w:rsidRPr="00997F53" w:rsidRDefault="00D42674" w:rsidP="00D42674">
            <w:pPr>
              <w:pStyle w:val="TableParagraph"/>
              <w:spacing w:before="28"/>
              <w:jc w:val="center"/>
              <w:rPr>
                <w:rFonts w:ascii="Arial" w:eastAsia="Source Sans Pro" w:hAnsi="Arial" w:cs="Arial"/>
                <w:color w:val="000000" w:themeColor="text1"/>
                <w:sz w:val="16"/>
                <w:szCs w:val="16"/>
              </w:rPr>
            </w:pPr>
            <w:r w:rsidRPr="00997F53">
              <w:rPr>
                <w:color w:val="000000" w:themeColor="text1"/>
                <w:spacing w:val="-2"/>
                <w:sz w:val="16"/>
              </w:rPr>
              <w:t>£25,</w:t>
            </w:r>
            <w:r w:rsidR="0092082A" w:rsidRPr="00997F53">
              <w:rPr>
                <w:color w:val="000000" w:themeColor="text1"/>
                <w:spacing w:val="-2"/>
                <w:sz w:val="16"/>
              </w:rPr>
              <w:t>9</w:t>
            </w:r>
            <w:r w:rsidRPr="00997F53">
              <w:rPr>
                <w:color w:val="000000" w:themeColor="text1"/>
                <w:spacing w:val="-2"/>
                <w:sz w:val="16"/>
              </w:rPr>
              <w:t>00</w:t>
            </w:r>
          </w:p>
        </w:tc>
        <w:tc>
          <w:tcPr>
            <w:tcW w:w="1339" w:type="dxa"/>
            <w:tcBorders>
              <w:top w:val="nil"/>
              <w:left w:val="single" w:sz="8" w:space="0" w:color="000000"/>
              <w:bottom w:val="nil"/>
              <w:right w:val="single" w:sz="8" w:space="0" w:color="000000"/>
            </w:tcBorders>
          </w:tcPr>
          <w:p w14:paraId="195FC8DD" w14:textId="235DE1AF" w:rsidR="00D42674" w:rsidRPr="00997F53" w:rsidRDefault="00D42674" w:rsidP="00D42674">
            <w:pPr>
              <w:pStyle w:val="TableParagraph"/>
              <w:spacing w:before="28"/>
              <w:jc w:val="center"/>
              <w:rPr>
                <w:rFonts w:ascii="Arial" w:eastAsia="Source Sans Pro" w:hAnsi="Arial" w:cs="Arial"/>
                <w:color w:val="000000" w:themeColor="text1"/>
                <w:sz w:val="16"/>
                <w:szCs w:val="16"/>
              </w:rPr>
            </w:pPr>
            <w:r w:rsidRPr="00997F53">
              <w:rPr>
                <w:color w:val="000000" w:themeColor="text1"/>
                <w:spacing w:val="-2"/>
                <w:sz w:val="16"/>
              </w:rPr>
              <w:t>£2</w:t>
            </w:r>
            <w:r w:rsidR="0092082A" w:rsidRPr="00997F53">
              <w:rPr>
                <w:color w:val="000000" w:themeColor="text1"/>
                <w:spacing w:val="-2"/>
                <w:sz w:val="16"/>
              </w:rPr>
              <w:t>5</w:t>
            </w:r>
            <w:r w:rsidRPr="00997F53">
              <w:rPr>
                <w:color w:val="000000" w:themeColor="text1"/>
                <w:spacing w:val="-2"/>
                <w:sz w:val="16"/>
              </w:rPr>
              <w:t>,</w:t>
            </w:r>
            <w:r w:rsidR="0092082A" w:rsidRPr="00997F53">
              <w:rPr>
                <w:color w:val="000000" w:themeColor="text1"/>
                <w:spacing w:val="-2"/>
                <w:sz w:val="16"/>
              </w:rPr>
              <w:t>6</w:t>
            </w:r>
            <w:r w:rsidRPr="00997F53">
              <w:rPr>
                <w:color w:val="000000" w:themeColor="text1"/>
                <w:spacing w:val="-2"/>
                <w:sz w:val="16"/>
              </w:rPr>
              <w:t>00</w:t>
            </w:r>
          </w:p>
        </w:tc>
      </w:tr>
      <w:tr w:rsidR="00A51A9C" w:rsidRPr="00A51A9C" w14:paraId="05D2DC7E" w14:textId="77777777" w:rsidTr="00B62B92">
        <w:trPr>
          <w:trHeight w:hRule="exact" w:val="281"/>
        </w:trPr>
        <w:tc>
          <w:tcPr>
            <w:tcW w:w="936" w:type="dxa"/>
            <w:tcBorders>
              <w:top w:val="nil"/>
              <w:left w:val="single" w:sz="8" w:space="0" w:color="000000"/>
              <w:bottom w:val="nil"/>
              <w:right w:val="single" w:sz="8" w:space="0" w:color="000000"/>
            </w:tcBorders>
          </w:tcPr>
          <w:p w14:paraId="00B6F952" w14:textId="77777777" w:rsidR="00D42674" w:rsidRPr="00CF7ED5" w:rsidRDefault="00D42674" w:rsidP="00D42674">
            <w:pPr>
              <w:pStyle w:val="TableParagraph"/>
              <w:spacing w:before="28"/>
              <w:ind w:left="5"/>
              <w:jc w:val="center"/>
              <w:rPr>
                <w:rFonts w:ascii="Arial" w:eastAsia="Source Sans Pro" w:hAnsi="Arial" w:cs="Arial"/>
                <w:color w:val="000000" w:themeColor="text1"/>
                <w:sz w:val="16"/>
                <w:szCs w:val="16"/>
              </w:rPr>
            </w:pPr>
            <w:r w:rsidRPr="00CF7ED5">
              <w:rPr>
                <w:rFonts w:ascii="Arial" w:hAnsi="Arial" w:cs="Arial"/>
                <w:b/>
                <w:color w:val="000000" w:themeColor="text1"/>
                <w:w w:val="105"/>
                <w:sz w:val="16"/>
                <w:szCs w:val="16"/>
              </w:rPr>
              <w:t>3</w:t>
            </w:r>
          </w:p>
        </w:tc>
        <w:tc>
          <w:tcPr>
            <w:tcW w:w="1339" w:type="dxa"/>
            <w:tcBorders>
              <w:top w:val="nil"/>
              <w:left w:val="single" w:sz="8" w:space="0" w:color="000000"/>
              <w:bottom w:val="nil"/>
              <w:right w:val="single" w:sz="8" w:space="0" w:color="000000"/>
            </w:tcBorders>
          </w:tcPr>
          <w:p w14:paraId="068778B6" w14:textId="35C1BDB5" w:rsidR="00D42674" w:rsidRPr="00C216FC" w:rsidRDefault="00D42674" w:rsidP="00D42674">
            <w:pPr>
              <w:pStyle w:val="TableParagraph"/>
              <w:spacing w:before="28"/>
              <w:jc w:val="center"/>
              <w:rPr>
                <w:rFonts w:ascii="Arial" w:eastAsia="Source Sans Pro" w:hAnsi="Arial" w:cs="Arial"/>
                <w:color w:val="000000" w:themeColor="text1"/>
                <w:sz w:val="16"/>
                <w:szCs w:val="16"/>
              </w:rPr>
            </w:pPr>
            <w:r w:rsidRPr="00C216FC">
              <w:rPr>
                <w:color w:val="000000" w:themeColor="text1"/>
                <w:spacing w:val="-2"/>
                <w:sz w:val="16"/>
              </w:rPr>
              <w:t>£2</w:t>
            </w:r>
            <w:r w:rsidR="00CD538E" w:rsidRPr="00C216FC">
              <w:rPr>
                <w:color w:val="000000" w:themeColor="text1"/>
                <w:spacing w:val="-2"/>
                <w:sz w:val="16"/>
              </w:rPr>
              <w:t>6</w:t>
            </w:r>
            <w:r w:rsidRPr="00C216FC">
              <w:rPr>
                <w:color w:val="000000" w:themeColor="text1"/>
                <w:spacing w:val="-2"/>
                <w:sz w:val="16"/>
              </w:rPr>
              <w:t>,</w:t>
            </w:r>
            <w:r w:rsidR="00CD538E" w:rsidRPr="00C216FC">
              <w:rPr>
                <w:color w:val="000000" w:themeColor="text1"/>
                <w:spacing w:val="-2"/>
                <w:sz w:val="16"/>
              </w:rPr>
              <w:t>6</w:t>
            </w:r>
            <w:r w:rsidRPr="00C216FC">
              <w:rPr>
                <w:color w:val="000000" w:themeColor="text1"/>
                <w:spacing w:val="-2"/>
                <w:sz w:val="16"/>
              </w:rPr>
              <w:t>00</w:t>
            </w:r>
          </w:p>
        </w:tc>
        <w:tc>
          <w:tcPr>
            <w:tcW w:w="1339" w:type="dxa"/>
            <w:tcBorders>
              <w:top w:val="nil"/>
              <w:left w:val="single" w:sz="8" w:space="0" w:color="000000"/>
              <w:bottom w:val="nil"/>
              <w:right w:val="single" w:sz="8" w:space="0" w:color="000000"/>
            </w:tcBorders>
          </w:tcPr>
          <w:p w14:paraId="162EA142" w14:textId="28149517" w:rsidR="00D42674" w:rsidRPr="00C216FC" w:rsidRDefault="00D42674" w:rsidP="00D42674">
            <w:pPr>
              <w:pStyle w:val="TableParagraph"/>
              <w:spacing w:before="28"/>
              <w:jc w:val="center"/>
              <w:rPr>
                <w:rFonts w:ascii="Arial" w:eastAsia="Source Sans Pro" w:hAnsi="Arial" w:cs="Arial"/>
                <w:color w:val="000000" w:themeColor="text1"/>
                <w:sz w:val="16"/>
                <w:szCs w:val="16"/>
              </w:rPr>
            </w:pPr>
            <w:r w:rsidRPr="00C216FC">
              <w:rPr>
                <w:color w:val="000000" w:themeColor="text1"/>
                <w:spacing w:val="-2"/>
                <w:sz w:val="16"/>
              </w:rPr>
              <w:t>£2</w:t>
            </w:r>
            <w:r w:rsidR="00CF7ED5" w:rsidRPr="00C216FC">
              <w:rPr>
                <w:color w:val="000000" w:themeColor="text1"/>
                <w:spacing w:val="-2"/>
                <w:sz w:val="16"/>
              </w:rPr>
              <w:t>6</w:t>
            </w:r>
            <w:r w:rsidRPr="00C216FC">
              <w:rPr>
                <w:color w:val="000000" w:themeColor="text1"/>
                <w:spacing w:val="-2"/>
                <w:sz w:val="16"/>
              </w:rPr>
              <w:t>,</w:t>
            </w:r>
            <w:r w:rsidR="00CD538E" w:rsidRPr="00C216FC">
              <w:rPr>
                <w:color w:val="000000" w:themeColor="text1"/>
                <w:spacing w:val="-2"/>
                <w:sz w:val="16"/>
              </w:rPr>
              <w:t>1</w:t>
            </w:r>
            <w:r w:rsidRPr="00C216FC">
              <w:rPr>
                <w:color w:val="000000" w:themeColor="text1"/>
                <w:spacing w:val="-2"/>
                <w:sz w:val="16"/>
              </w:rPr>
              <w:t>00</w:t>
            </w:r>
          </w:p>
        </w:tc>
        <w:tc>
          <w:tcPr>
            <w:tcW w:w="1339" w:type="dxa"/>
            <w:tcBorders>
              <w:top w:val="nil"/>
              <w:left w:val="single" w:sz="8" w:space="0" w:color="000000"/>
              <w:bottom w:val="nil"/>
              <w:right w:val="single" w:sz="8" w:space="0" w:color="000000"/>
            </w:tcBorders>
          </w:tcPr>
          <w:p w14:paraId="15ED165C" w14:textId="4C4273DD" w:rsidR="00D42674" w:rsidRPr="00381AA3" w:rsidRDefault="00D42674" w:rsidP="00D42674">
            <w:pPr>
              <w:pStyle w:val="TableParagraph"/>
              <w:spacing w:before="28"/>
              <w:jc w:val="center"/>
              <w:rPr>
                <w:rFonts w:ascii="Arial" w:eastAsia="Source Sans Pro" w:hAnsi="Arial" w:cs="Arial"/>
                <w:color w:val="000000" w:themeColor="text1"/>
                <w:sz w:val="16"/>
                <w:szCs w:val="16"/>
              </w:rPr>
            </w:pPr>
            <w:r w:rsidRPr="00381AA3">
              <w:rPr>
                <w:color w:val="000000" w:themeColor="text1"/>
                <w:spacing w:val="-2"/>
                <w:sz w:val="16"/>
              </w:rPr>
              <w:t>£2</w:t>
            </w:r>
            <w:r w:rsidR="00381AA3" w:rsidRPr="00381AA3">
              <w:rPr>
                <w:color w:val="000000" w:themeColor="text1"/>
                <w:spacing w:val="-2"/>
                <w:sz w:val="16"/>
              </w:rPr>
              <w:t>6</w:t>
            </w:r>
            <w:r w:rsidRPr="00381AA3">
              <w:rPr>
                <w:color w:val="000000" w:themeColor="text1"/>
                <w:spacing w:val="-2"/>
                <w:sz w:val="16"/>
              </w:rPr>
              <w:t>,</w:t>
            </w:r>
            <w:r w:rsidR="00381AA3" w:rsidRPr="00381AA3">
              <w:rPr>
                <w:color w:val="000000" w:themeColor="text1"/>
                <w:spacing w:val="-2"/>
                <w:sz w:val="16"/>
              </w:rPr>
              <w:t>9</w:t>
            </w:r>
            <w:r w:rsidRPr="00381AA3">
              <w:rPr>
                <w:color w:val="000000" w:themeColor="text1"/>
                <w:spacing w:val="-2"/>
                <w:sz w:val="16"/>
              </w:rPr>
              <w:t>00</w:t>
            </w:r>
          </w:p>
        </w:tc>
        <w:tc>
          <w:tcPr>
            <w:tcW w:w="1339" w:type="dxa"/>
            <w:tcBorders>
              <w:top w:val="nil"/>
              <w:left w:val="single" w:sz="8" w:space="0" w:color="000000"/>
              <w:bottom w:val="nil"/>
              <w:right w:val="single" w:sz="8" w:space="0" w:color="000000"/>
            </w:tcBorders>
          </w:tcPr>
          <w:p w14:paraId="437F9687" w14:textId="12FB35A0" w:rsidR="00D42674" w:rsidRPr="00381AA3" w:rsidRDefault="00D42674" w:rsidP="00D42674">
            <w:pPr>
              <w:pStyle w:val="TableParagraph"/>
              <w:spacing w:before="28"/>
              <w:jc w:val="center"/>
              <w:rPr>
                <w:rFonts w:ascii="Arial" w:eastAsia="Source Sans Pro" w:hAnsi="Arial" w:cs="Arial"/>
                <w:color w:val="000000" w:themeColor="text1"/>
                <w:sz w:val="16"/>
                <w:szCs w:val="16"/>
              </w:rPr>
            </w:pPr>
            <w:r w:rsidRPr="00381AA3">
              <w:rPr>
                <w:color w:val="000000" w:themeColor="text1"/>
                <w:spacing w:val="-2"/>
                <w:sz w:val="16"/>
              </w:rPr>
              <w:t>£2</w:t>
            </w:r>
            <w:r w:rsidR="00381AA3" w:rsidRPr="00381AA3">
              <w:rPr>
                <w:color w:val="000000" w:themeColor="text1"/>
                <w:spacing w:val="-2"/>
                <w:sz w:val="16"/>
              </w:rPr>
              <w:t>6</w:t>
            </w:r>
            <w:r w:rsidRPr="00381AA3">
              <w:rPr>
                <w:color w:val="000000" w:themeColor="text1"/>
                <w:spacing w:val="-2"/>
                <w:sz w:val="16"/>
              </w:rPr>
              <w:t>,</w:t>
            </w:r>
            <w:r w:rsidR="00381AA3" w:rsidRPr="00381AA3">
              <w:rPr>
                <w:color w:val="000000" w:themeColor="text1"/>
                <w:spacing w:val="-2"/>
                <w:sz w:val="16"/>
              </w:rPr>
              <w:t>3</w:t>
            </w:r>
            <w:r w:rsidRPr="00381AA3">
              <w:rPr>
                <w:color w:val="000000" w:themeColor="text1"/>
                <w:spacing w:val="-2"/>
                <w:sz w:val="16"/>
              </w:rPr>
              <w:t>00</w:t>
            </w:r>
          </w:p>
        </w:tc>
        <w:tc>
          <w:tcPr>
            <w:tcW w:w="1339" w:type="dxa"/>
            <w:tcBorders>
              <w:top w:val="nil"/>
              <w:left w:val="single" w:sz="8" w:space="0" w:color="000000"/>
              <w:bottom w:val="nil"/>
              <w:right w:val="single" w:sz="8" w:space="0" w:color="000000"/>
            </w:tcBorders>
          </w:tcPr>
          <w:p w14:paraId="10BE938A" w14:textId="44D37A46" w:rsidR="00D42674" w:rsidRPr="00997F53" w:rsidRDefault="00D42674" w:rsidP="00D42674">
            <w:pPr>
              <w:pStyle w:val="TableParagraph"/>
              <w:spacing w:before="28"/>
              <w:jc w:val="center"/>
              <w:rPr>
                <w:rFonts w:ascii="Arial" w:eastAsia="Source Sans Pro" w:hAnsi="Arial" w:cs="Arial"/>
                <w:color w:val="000000" w:themeColor="text1"/>
                <w:sz w:val="16"/>
                <w:szCs w:val="16"/>
              </w:rPr>
            </w:pPr>
            <w:r w:rsidRPr="00997F53">
              <w:rPr>
                <w:color w:val="000000" w:themeColor="text1"/>
                <w:spacing w:val="-2"/>
                <w:sz w:val="16"/>
              </w:rPr>
              <w:t>£2</w:t>
            </w:r>
            <w:r w:rsidR="0092082A" w:rsidRPr="00997F53">
              <w:rPr>
                <w:color w:val="000000" w:themeColor="text1"/>
                <w:spacing w:val="-2"/>
                <w:sz w:val="16"/>
              </w:rPr>
              <w:t>6</w:t>
            </w:r>
            <w:r w:rsidRPr="00997F53">
              <w:rPr>
                <w:color w:val="000000" w:themeColor="text1"/>
                <w:spacing w:val="-2"/>
                <w:sz w:val="16"/>
              </w:rPr>
              <w:t>,</w:t>
            </w:r>
            <w:r w:rsidR="00997F53" w:rsidRPr="00997F53">
              <w:rPr>
                <w:color w:val="000000" w:themeColor="text1"/>
                <w:spacing w:val="-2"/>
                <w:sz w:val="16"/>
              </w:rPr>
              <w:t>3</w:t>
            </w:r>
            <w:r w:rsidRPr="00997F53">
              <w:rPr>
                <w:color w:val="000000" w:themeColor="text1"/>
                <w:spacing w:val="-2"/>
                <w:sz w:val="16"/>
              </w:rPr>
              <w:t>00</w:t>
            </w:r>
          </w:p>
        </w:tc>
        <w:tc>
          <w:tcPr>
            <w:tcW w:w="1339" w:type="dxa"/>
            <w:tcBorders>
              <w:top w:val="nil"/>
              <w:left w:val="single" w:sz="8" w:space="0" w:color="000000"/>
              <w:bottom w:val="nil"/>
              <w:right w:val="single" w:sz="8" w:space="0" w:color="000000"/>
            </w:tcBorders>
          </w:tcPr>
          <w:p w14:paraId="7A2EE0A8" w14:textId="1BF73DF7" w:rsidR="00D42674" w:rsidRPr="00997F53" w:rsidRDefault="00D42674" w:rsidP="00D42674">
            <w:pPr>
              <w:pStyle w:val="TableParagraph"/>
              <w:spacing w:before="28"/>
              <w:jc w:val="center"/>
              <w:rPr>
                <w:rFonts w:ascii="Arial" w:eastAsia="Source Sans Pro" w:hAnsi="Arial" w:cs="Arial"/>
                <w:color w:val="000000" w:themeColor="text1"/>
                <w:sz w:val="16"/>
                <w:szCs w:val="16"/>
              </w:rPr>
            </w:pPr>
            <w:r w:rsidRPr="00997F53">
              <w:rPr>
                <w:color w:val="000000" w:themeColor="text1"/>
                <w:spacing w:val="-2"/>
                <w:sz w:val="16"/>
              </w:rPr>
              <w:t>£2</w:t>
            </w:r>
            <w:r w:rsidR="0092082A" w:rsidRPr="00997F53">
              <w:rPr>
                <w:color w:val="000000" w:themeColor="text1"/>
                <w:spacing w:val="-2"/>
                <w:sz w:val="16"/>
              </w:rPr>
              <w:t>5</w:t>
            </w:r>
            <w:r w:rsidRPr="00997F53">
              <w:rPr>
                <w:color w:val="000000" w:themeColor="text1"/>
                <w:spacing w:val="-2"/>
                <w:sz w:val="16"/>
              </w:rPr>
              <w:t>,</w:t>
            </w:r>
            <w:r w:rsidR="00997F53" w:rsidRPr="00997F53">
              <w:rPr>
                <w:color w:val="000000" w:themeColor="text1"/>
                <w:spacing w:val="-2"/>
                <w:sz w:val="16"/>
              </w:rPr>
              <w:t>8</w:t>
            </w:r>
            <w:r w:rsidRPr="00997F53">
              <w:rPr>
                <w:color w:val="000000" w:themeColor="text1"/>
                <w:spacing w:val="-2"/>
                <w:sz w:val="16"/>
              </w:rPr>
              <w:t>00</w:t>
            </w:r>
          </w:p>
        </w:tc>
      </w:tr>
      <w:tr w:rsidR="00A51A9C" w:rsidRPr="00A51A9C" w14:paraId="6EEB8B81" w14:textId="77777777" w:rsidTr="00B62B92">
        <w:trPr>
          <w:trHeight w:hRule="exact" w:val="281"/>
        </w:trPr>
        <w:tc>
          <w:tcPr>
            <w:tcW w:w="936" w:type="dxa"/>
            <w:tcBorders>
              <w:top w:val="nil"/>
              <w:left w:val="single" w:sz="8" w:space="0" w:color="000000"/>
              <w:bottom w:val="nil"/>
              <w:right w:val="single" w:sz="8" w:space="0" w:color="000000"/>
            </w:tcBorders>
          </w:tcPr>
          <w:p w14:paraId="056178B6" w14:textId="77777777" w:rsidR="00D42674" w:rsidRPr="00CF7ED5" w:rsidRDefault="00D42674" w:rsidP="00D42674">
            <w:pPr>
              <w:pStyle w:val="TableParagraph"/>
              <w:spacing w:before="28"/>
              <w:ind w:left="5"/>
              <w:jc w:val="center"/>
              <w:rPr>
                <w:rFonts w:ascii="Arial" w:eastAsia="Source Sans Pro" w:hAnsi="Arial" w:cs="Arial"/>
                <w:color w:val="000000" w:themeColor="text1"/>
                <w:sz w:val="16"/>
                <w:szCs w:val="16"/>
              </w:rPr>
            </w:pPr>
            <w:r w:rsidRPr="00CF7ED5">
              <w:rPr>
                <w:rFonts w:ascii="Arial" w:hAnsi="Arial" w:cs="Arial"/>
                <w:b/>
                <w:color w:val="000000" w:themeColor="text1"/>
                <w:w w:val="105"/>
                <w:sz w:val="16"/>
                <w:szCs w:val="16"/>
              </w:rPr>
              <w:t>4</w:t>
            </w:r>
          </w:p>
        </w:tc>
        <w:tc>
          <w:tcPr>
            <w:tcW w:w="1339" w:type="dxa"/>
            <w:tcBorders>
              <w:top w:val="nil"/>
              <w:left w:val="single" w:sz="8" w:space="0" w:color="000000"/>
              <w:bottom w:val="nil"/>
              <w:right w:val="single" w:sz="8" w:space="0" w:color="000000"/>
            </w:tcBorders>
          </w:tcPr>
          <w:p w14:paraId="076094AB" w14:textId="2F60D520" w:rsidR="00D42674" w:rsidRPr="00C216FC" w:rsidRDefault="00D42674" w:rsidP="00D42674">
            <w:pPr>
              <w:pStyle w:val="TableParagraph"/>
              <w:spacing w:before="28"/>
              <w:jc w:val="center"/>
              <w:rPr>
                <w:rFonts w:ascii="Arial" w:eastAsia="Source Sans Pro" w:hAnsi="Arial" w:cs="Arial"/>
                <w:color w:val="000000" w:themeColor="text1"/>
                <w:sz w:val="16"/>
                <w:szCs w:val="16"/>
              </w:rPr>
            </w:pPr>
            <w:r w:rsidRPr="00C216FC">
              <w:rPr>
                <w:color w:val="000000" w:themeColor="text1"/>
                <w:spacing w:val="-2"/>
                <w:sz w:val="16"/>
              </w:rPr>
              <w:t>£2</w:t>
            </w:r>
            <w:r w:rsidR="00CD538E" w:rsidRPr="00C216FC">
              <w:rPr>
                <w:color w:val="000000" w:themeColor="text1"/>
                <w:spacing w:val="-2"/>
                <w:sz w:val="16"/>
              </w:rPr>
              <w:t>7</w:t>
            </w:r>
            <w:r w:rsidRPr="00C216FC">
              <w:rPr>
                <w:color w:val="000000" w:themeColor="text1"/>
                <w:spacing w:val="-2"/>
                <w:sz w:val="16"/>
              </w:rPr>
              <w:t>,</w:t>
            </w:r>
            <w:r w:rsidR="00CF7ED5" w:rsidRPr="00C216FC">
              <w:rPr>
                <w:color w:val="000000" w:themeColor="text1"/>
                <w:spacing w:val="-2"/>
                <w:sz w:val="16"/>
              </w:rPr>
              <w:t>1</w:t>
            </w:r>
            <w:r w:rsidRPr="00C216FC">
              <w:rPr>
                <w:color w:val="000000" w:themeColor="text1"/>
                <w:spacing w:val="-2"/>
                <w:sz w:val="16"/>
              </w:rPr>
              <w:t>00</w:t>
            </w:r>
          </w:p>
        </w:tc>
        <w:tc>
          <w:tcPr>
            <w:tcW w:w="1339" w:type="dxa"/>
            <w:tcBorders>
              <w:top w:val="nil"/>
              <w:left w:val="single" w:sz="8" w:space="0" w:color="000000"/>
              <w:bottom w:val="nil"/>
              <w:right w:val="single" w:sz="8" w:space="0" w:color="000000"/>
            </w:tcBorders>
          </w:tcPr>
          <w:p w14:paraId="1F342097" w14:textId="25AAAA51" w:rsidR="00D42674" w:rsidRPr="00C216FC" w:rsidRDefault="00D42674" w:rsidP="00D42674">
            <w:pPr>
              <w:pStyle w:val="TableParagraph"/>
              <w:spacing w:before="28"/>
              <w:jc w:val="center"/>
              <w:rPr>
                <w:rFonts w:ascii="Arial" w:eastAsia="Source Sans Pro" w:hAnsi="Arial" w:cs="Arial"/>
                <w:color w:val="000000" w:themeColor="text1"/>
                <w:sz w:val="16"/>
                <w:szCs w:val="16"/>
              </w:rPr>
            </w:pPr>
            <w:r w:rsidRPr="00C216FC">
              <w:rPr>
                <w:color w:val="000000" w:themeColor="text1"/>
                <w:spacing w:val="-2"/>
                <w:sz w:val="16"/>
              </w:rPr>
              <w:t>£2</w:t>
            </w:r>
            <w:r w:rsidR="00CD538E" w:rsidRPr="00C216FC">
              <w:rPr>
                <w:color w:val="000000" w:themeColor="text1"/>
                <w:spacing w:val="-2"/>
                <w:sz w:val="16"/>
              </w:rPr>
              <w:t>6</w:t>
            </w:r>
            <w:r w:rsidRPr="00C216FC">
              <w:rPr>
                <w:color w:val="000000" w:themeColor="text1"/>
                <w:spacing w:val="-2"/>
                <w:sz w:val="16"/>
              </w:rPr>
              <w:t>,</w:t>
            </w:r>
            <w:r w:rsidR="00CF7ED5" w:rsidRPr="00C216FC">
              <w:rPr>
                <w:color w:val="000000" w:themeColor="text1"/>
                <w:spacing w:val="-2"/>
                <w:sz w:val="16"/>
              </w:rPr>
              <w:t>4</w:t>
            </w:r>
            <w:r w:rsidRPr="00C216FC">
              <w:rPr>
                <w:color w:val="000000" w:themeColor="text1"/>
                <w:spacing w:val="-2"/>
                <w:sz w:val="16"/>
              </w:rPr>
              <w:t>00</w:t>
            </w:r>
          </w:p>
        </w:tc>
        <w:tc>
          <w:tcPr>
            <w:tcW w:w="1339" w:type="dxa"/>
            <w:tcBorders>
              <w:top w:val="nil"/>
              <w:left w:val="single" w:sz="8" w:space="0" w:color="000000"/>
              <w:bottom w:val="nil"/>
              <w:right w:val="single" w:sz="8" w:space="0" w:color="000000"/>
            </w:tcBorders>
          </w:tcPr>
          <w:p w14:paraId="2DD30ABC" w14:textId="4772B092" w:rsidR="00D42674" w:rsidRPr="00381AA3" w:rsidRDefault="00D42674" w:rsidP="00D42674">
            <w:pPr>
              <w:pStyle w:val="TableParagraph"/>
              <w:spacing w:before="28"/>
              <w:jc w:val="center"/>
              <w:rPr>
                <w:rFonts w:ascii="Arial" w:eastAsia="Source Sans Pro" w:hAnsi="Arial" w:cs="Arial"/>
                <w:color w:val="000000" w:themeColor="text1"/>
                <w:sz w:val="16"/>
                <w:szCs w:val="16"/>
              </w:rPr>
            </w:pPr>
            <w:r w:rsidRPr="00381AA3">
              <w:rPr>
                <w:color w:val="000000" w:themeColor="text1"/>
                <w:spacing w:val="-2"/>
                <w:sz w:val="16"/>
              </w:rPr>
              <w:t>£2</w:t>
            </w:r>
            <w:r w:rsidR="00381AA3" w:rsidRPr="00381AA3">
              <w:rPr>
                <w:color w:val="000000" w:themeColor="text1"/>
                <w:spacing w:val="-2"/>
                <w:sz w:val="16"/>
              </w:rPr>
              <w:t>7</w:t>
            </w:r>
            <w:r w:rsidRPr="00381AA3">
              <w:rPr>
                <w:color w:val="000000" w:themeColor="text1"/>
                <w:spacing w:val="-2"/>
                <w:sz w:val="16"/>
              </w:rPr>
              <w:t>,</w:t>
            </w:r>
            <w:r w:rsidR="00381AA3" w:rsidRPr="00381AA3">
              <w:rPr>
                <w:color w:val="000000" w:themeColor="text1"/>
                <w:spacing w:val="-2"/>
                <w:sz w:val="16"/>
              </w:rPr>
              <w:t>5</w:t>
            </w:r>
            <w:r w:rsidRPr="00381AA3">
              <w:rPr>
                <w:color w:val="000000" w:themeColor="text1"/>
                <w:spacing w:val="-2"/>
                <w:sz w:val="16"/>
              </w:rPr>
              <w:t>00</w:t>
            </w:r>
          </w:p>
        </w:tc>
        <w:tc>
          <w:tcPr>
            <w:tcW w:w="1339" w:type="dxa"/>
            <w:tcBorders>
              <w:top w:val="nil"/>
              <w:left w:val="single" w:sz="8" w:space="0" w:color="000000"/>
              <w:bottom w:val="nil"/>
              <w:right w:val="single" w:sz="8" w:space="0" w:color="000000"/>
            </w:tcBorders>
          </w:tcPr>
          <w:p w14:paraId="144FABE3" w14:textId="7E2270B3" w:rsidR="00D42674" w:rsidRPr="00381AA3" w:rsidRDefault="00D42674" w:rsidP="00D42674">
            <w:pPr>
              <w:pStyle w:val="TableParagraph"/>
              <w:spacing w:before="28"/>
              <w:jc w:val="center"/>
              <w:rPr>
                <w:rFonts w:ascii="Arial" w:eastAsia="Source Sans Pro" w:hAnsi="Arial" w:cs="Arial"/>
                <w:color w:val="000000" w:themeColor="text1"/>
                <w:sz w:val="16"/>
                <w:szCs w:val="16"/>
              </w:rPr>
            </w:pPr>
            <w:r w:rsidRPr="00381AA3">
              <w:rPr>
                <w:color w:val="000000" w:themeColor="text1"/>
                <w:spacing w:val="-2"/>
                <w:sz w:val="16"/>
              </w:rPr>
              <w:t>£2</w:t>
            </w:r>
            <w:r w:rsidR="00381AA3" w:rsidRPr="00381AA3">
              <w:rPr>
                <w:color w:val="000000" w:themeColor="text1"/>
                <w:spacing w:val="-2"/>
                <w:sz w:val="16"/>
              </w:rPr>
              <w:t>6</w:t>
            </w:r>
            <w:r w:rsidRPr="00381AA3">
              <w:rPr>
                <w:color w:val="000000" w:themeColor="text1"/>
                <w:spacing w:val="-2"/>
                <w:sz w:val="16"/>
              </w:rPr>
              <w:t>,</w:t>
            </w:r>
            <w:r w:rsidR="00381AA3" w:rsidRPr="00381AA3">
              <w:rPr>
                <w:color w:val="000000" w:themeColor="text1"/>
                <w:spacing w:val="-2"/>
                <w:sz w:val="16"/>
              </w:rPr>
              <w:t>8</w:t>
            </w:r>
            <w:r w:rsidRPr="00381AA3">
              <w:rPr>
                <w:color w:val="000000" w:themeColor="text1"/>
                <w:spacing w:val="-2"/>
                <w:sz w:val="16"/>
              </w:rPr>
              <w:t>00</w:t>
            </w:r>
          </w:p>
        </w:tc>
        <w:tc>
          <w:tcPr>
            <w:tcW w:w="1339" w:type="dxa"/>
            <w:tcBorders>
              <w:top w:val="nil"/>
              <w:left w:val="single" w:sz="8" w:space="0" w:color="000000"/>
              <w:bottom w:val="nil"/>
              <w:right w:val="single" w:sz="8" w:space="0" w:color="000000"/>
            </w:tcBorders>
          </w:tcPr>
          <w:p w14:paraId="4F81D1EB" w14:textId="5CC9B852" w:rsidR="00D42674" w:rsidRPr="00997F53" w:rsidRDefault="00D42674" w:rsidP="00D42674">
            <w:pPr>
              <w:pStyle w:val="TableParagraph"/>
              <w:spacing w:before="28"/>
              <w:jc w:val="center"/>
              <w:rPr>
                <w:rFonts w:ascii="Arial" w:eastAsia="Source Sans Pro" w:hAnsi="Arial" w:cs="Arial"/>
                <w:color w:val="000000" w:themeColor="text1"/>
                <w:sz w:val="16"/>
                <w:szCs w:val="16"/>
              </w:rPr>
            </w:pPr>
            <w:r w:rsidRPr="00997F53">
              <w:rPr>
                <w:color w:val="000000" w:themeColor="text1"/>
                <w:spacing w:val="-2"/>
                <w:sz w:val="16"/>
              </w:rPr>
              <w:t>£2</w:t>
            </w:r>
            <w:r w:rsidR="0092082A" w:rsidRPr="00997F53">
              <w:rPr>
                <w:color w:val="000000" w:themeColor="text1"/>
                <w:spacing w:val="-2"/>
                <w:sz w:val="16"/>
              </w:rPr>
              <w:t>6</w:t>
            </w:r>
            <w:r w:rsidRPr="00997F53">
              <w:rPr>
                <w:color w:val="000000" w:themeColor="text1"/>
                <w:spacing w:val="-2"/>
                <w:sz w:val="16"/>
              </w:rPr>
              <w:t>,</w:t>
            </w:r>
            <w:r w:rsidR="00997F53" w:rsidRPr="00997F53">
              <w:rPr>
                <w:color w:val="000000" w:themeColor="text1"/>
                <w:spacing w:val="-2"/>
                <w:sz w:val="16"/>
              </w:rPr>
              <w:t>8</w:t>
            </w:r>
            <w:r w:rsidRPr="00997F53">
              <w:rPr>
                <w:color w:val="000000" w:themeColor="text1"/>
                <w:spacing w:val="-2"/>
                <w:sz w:val="16"/>
              </w:rPr>
              <w:t>00</w:t>
            </w:r>
          </w:p>
        </w:tc>
        <w:tc>
          <w:tcPr>
            <w:tcW w:w="1339" w:type="dxa"/>
            <w:tcBorders>
              <w:top w:val="nil"/>
              <w:left w:val="single" w:sz="8" w:space="0" w:color="000000"/>
              <w:bottom w:val="nil"/>
              <w:right w:val="single" w:sz="8" w:space="0" w:color="000000"/>
            </w:tcBorders>
          </w:tcPr>
          <w:p w14:paraId="425F15E3" w14:textId="40868092" w:rsidR="00D42674" w:rsidRPr="00997F53" w:rsidRDefault="00D42674" w:rsidP="00D42674">
            <w:pPr>
              <w:pStyle w:val="TableParagraph"/>
              <w:spacing w:before="28"/>
              <w:jc w:val="center"/>
              <w:rPr>
                <w:rFonts w:ascii="Arial" w:eastAsia="Source Sans Pro" w:hAnsi="Arial" w:cs="Arial"/>
                <w:color w:val="000000" w:themeColor="text1"/>
                <w:sz w:val="16"/>
                <w:szCs w:val="16"/>
              </w:rPr>
            </w:pPr>
            <w:r w:rsidRPr="00997F53">
              <w:rPr>
                <w:color w:val="000000" w:themeColor="text1"/>
                <w:spacing w:val="-2"/>
                <w:sz w:val="16"/>
              </w:rPr>
              <w:t>£2</w:t>
            </w:r>
            <w:r w:rsidR="0092082A" w:rsidRPr="00997F53">
              <w:rPr>
                <w:color w:val="000000" w:themeColor="text1"/>
                <w:spacing w:val="-2"/>
                <w:sz w:val="16"/>
              </w:rPr>
              <w:t>6</w:t>
            </w:r>
            <w:r w:rsidRPr="00997F53">
              <w:rPr>
                <w:color w:val="000000" w:themeColor="text1"/>
                <w:spacing w:val="-2"/>
                <w:sz w:val="16"/>
              </w:rPr>
              <w:t>,</w:t>
            </w:r>
            <w:r w:rsidR="00997F53" w:rsidRPr="00997F53">
              <w:rPr>
                <w:color w:val="000000" w:themeColor="text1"/>
                <w:spacing w:val="-2"/>
                <w:sz w:val="16"/>
              </w:rPr>
              <w:t>1</w:t>
            </w:r>
            <w:r w:rsidRPr="00997F53">
              <w:rPr>
                <w:color w:val="000000" w:themeColor="text1"/>
                <w:spacing w:val="-2"/>
                <w:sz w:val="16"/>
              </w:rPr>
              <w:t>00</w:t>
            </w:r>
          </w:p>
        </w:tc>
      </w:tr>
      <w:tr w:rsidR="00A51A9C" w:rsidRPr="00A51A9C" w14:paraId="5BC8FA03" w14:textId="77777777" w:rsidTr="00B62B92">
        <w:trPr>
          <w:trHeight w:hRule="exact" w:val="281"/>
        </w:trPr>
        <w:tc>
          <w:tcPr>
            <w:tcW w:w="936" w:type="dxa"/>
            <w:tcBorders>
              <w:top w:val="nil"/>
              <w:left w:val="single" w:sz="8" w:space="0" w:color="000000"/>
              <w:bottom w:val="nil"/>
              <w:right w:val="single" w:sz="8" w:space="0" w:color="000000"/>
            </w:tcBorders>
          </w:tcPr>
          <w:p w14:paraId="5D53CC32" w14:textId="77777777" w:rsidR="00D42674" w:rsidRPr="00CF7ED5" w:rsidRDefault="00D42674" w:rsidP="00D42674">
            <w:pPr>
              <w:pStyle w:val="TableParagraph"/>
              <w:spacing w:before="28"/>
              <w:ind w:left="5"/>
              <w:jc w:val="center"/>
              <w:rPr>
                <w:rFonts w:ascii="Arial" w:eastAsia="Source Sans Pro" w:hAnsi="Arial" w:cs="Arial"/>
                <w:color w:val="000000" w:themeColor="text1"/>
                <w:sz w:val="16"/>
                <w:szCs w:val="16"/>
              </w:rPr>
            </w:pPr>
            <w:r w:rsidRPr="00CF7ED5">
              <w:rPr>
                <w:rFonts w:ascii="Arial" w:hAnsi="Arial" w:cs="Arial"/>
                <w:b/>
                <w:color w:val="000000" w:themeColor="text1"/>
                <w:w w:val="105"/>
                <w:sz w:val="16"/>
                <w:szCs w:val="16"/>
              </w:rPr>
              <w:t>5</w:t>
            </w:r>
          </w:p>
        </w:tc>
        <w:tc>
          <w:tcPr>
            <w:tcW w:w="1339" w:type="dxa"/>
            <w:tcBorders>
              <w:top w:val="nil"/>
              <w:left w:val="single" w:sz="8" w:space="0" w:color="000000"/>
              <w:bottom w:val="nil"/>
              <w:right w:val="single" w:sz="8" w:space="0" w:color="000000"/>
            </w:tcBorders>
          </w:tcPr>
          <w:p w14:paraId="72CD8F93" w14:textId="39A264D0" w:rsidR="00D42674" w:rsidRPr="00C216FC" w:rsidRDefault="00D42674" w:rsidP="00D42674">
            <w:pPr>
              <w:pStyle w:val="TableParagraph"/>
              <w:spacing w:before="28"/>
              <w:jc w:val="center"/>
              <w:rPr>
                <w:rFonts w:ascii="Arial" w:eastAsia="Source Sans Pro" w:hAnsi="Arial" w:cs="Arial"/>
                <w:color w:val="000000" w:themeColor="text1"/>
                <w:sz w:val="16"/>
                <w:szCs w:val="16"/>
              </w:rPr>
            </w:pPr>
            <w:r w:rsidRPr="00C216FC">
              <w:rPr>
                <w:color w:val="000000" w:themeColor="text1"/>
                <w:spacing w:val="-2"/>
                <w:sz w:val="16"/>
              </w:rPr>
              <w:t>£2</w:t>
            </w:r>
            <w:r w:rsidR="00CD538E" w:rsidRPr="00C216FC">
              <w:rPr>
                <w:color w:val="000000" w:themeColor="text1"/>
                <w:spacing w:val="-2"/>
                <w:sz w:val="16"/>
              </w:rPr>
              <w:t>7</w:t>
            </w:r>
            <w:r w:rsidRPr="00C216FC">
              <w:rPr>
                <w:color w:val="000000" w:themeColor="text1"/>
                <w:spacing w:val="-2"/>
                <w:sz w:val="16"/>
              </w:rPr>
              <w:t>,</w:t>
            </w:r>
            <w:r w:rsidR="00CD538E" w:rsidRPr="00C216FC">
              <w:rPr>
                <w:color w:val="000000" w:themeColor="text1"/>
                <w:spacing w:val="-2"/>
                <w:sz w:val="16"/>
              </w:rPr>
              <w:t>7</w:t>
            </w:r>
            <w:r w:rsidRPr="00C216FC">
              <w:rPr>
                <w:color w:val="000000" w:themeColor="text1"/>
                <w:spacing w:val="-2"/>
                <w:sz w:val="16"/>
              </w:rPr>
              <w:t>00</w:t>
            </w:r>
          </w:p>
        </w:tc>
        <w:tc>
          <w:tcPr>
            <w:tcW w:w="1339" w:type="dxa"/>
            <w:tcBorders>
              <w:top w:val="nil"/>
              <w:left w:val="single" w:sz="8" w:space="0" w:color="000000"/>
              <w:bottom w:val="nil"/>
              <w:right w:val="single" w:sz="8" w:space="0" w:color="000000"/>
            </w:tcBorders>
          </w:tcPr>
          <w:p w14:paraId="5309EC71" w14:textId="0EF194A5" w:rsidR="00D42674" w:rsidRPr="00C216FC" w:rsidRDefault="00D42674" w:rsidP="00D42674">
            <w:pPr>
              <w:pStyle w:val="TableParagraph"/>
              <w:spacing w:before="28"/>
              <w:jc w:val="center"/>
              <w:rPr>
                <w:rFonts w:ascii="Arial" w:eastAsia="Source Sans Pro" w:hAnsi="Arial" w:cs="Arial"/>
                <w:color w:val="000000" w:themeColor="text1"/>
                <w:sz w:val="16"/>
                <w:szCs w:val="16"/>
              </w:rPr>
            </w:pPr>
            <w:r w:rsidRPr="00C216FC">
              <w:rPr>
                <w:color w:val="000000" w:themeColor="text1"/>
                <w:spacing w:val="-2"/>
                <w:sz w:val="16"/>
              </w:rPr>
              <w:t>£2</w:t>
            </w:r>
            <w:r w:rsidR="00CD538E" w:rsidRPr="00C216FC">
              <w:rPr>
                <w:color w:val="000000" w:themeColor="text1"/>
                <w:spacing w:val="-2"/>
                <w:sz w:val="16"/>
              </w:rPr>
              <w:t>6</w:t>
            </w:r>
            <w:r w:rsidRPr="00C216FC">
              <w:rPr>
                <w:color w:val="000000" w:themeColor="text1"/>
                <w:spacing w:val="-2"/>
                <w:sz w:val="16"/>
              </w:rPr>
              <w:t>,</w:t>
            </w:r>
            <w:r w:rsidR="00CD538E" w:rsidRPr="00C216FC">
              <w:rPr>
                <w:color w:val="000000" w:themeColor="text1"/>
                <w:spacing w:val="-2"/>
                <w:sz w:val="16"/>
              </w:rPr>
              <w:t>8</w:t>
            </w:r>
            <w:r w:rsidRPr="00C216FC">
              <w:rPr>
                <w:color w:val="000000" w:themeColor="text1"/>
                <w:spacing w:val="-2"/>
                <w:sz w:val="16"/>
              </w:rPr>
              <w:t>00</w:t>
            </w:r>
          </w:p>
        </w:tc>
        <w:tc>
          <w:tcPr>
            <w:tcW w:w="1339" w:type="dxa"/>
            <w:tcBorders>
              <w:top w:val="nil"/>
              <w:left w:val="single" w:sz="8" w:space="0" w:color="000000"/>
              <w:bottom w:val="nil"/>
              <w:right w:val="single" w:sz="8" w:space="0" w:color="000000"/>
            </w:tcBorders>
          </w:tcPr>
          <w:p w14:paraId="3EC09693" w14:textId="3858A928" w:rsidR="00D42674" w:rsidRPr="00381AA3" w:rsidRDefault="00D42674" w:rsidP="00D42674">
            <w:pPr>
              <w:pStyle w:val="TableParagraph"/>
              <w:spacing w:before="28"/>
              <w:jc w:val="center"/>
              <w:rPr>
                <w:rFonts w:ascii="Arial" w:eastAsia="Source Sans Pro" w:hAnsi="Arial" w:cs="Arial"/>
                <w:color w:val="000000" w:themeColor="text1"/>
                <w:sz w:val="16"/>
                <w:szCs w:val="16"/>
              </w:rPr>
            </w:pPr>
            <w:r w:rsidRPr="00381AA3">
              <w:rPr>
                <w:color w:val="000000" w:themeColor="text1"/>
                <w:spacing w:val="-2"/>
                <w:sz w:val="16"/>
              </w:rPr>
              <w:t>£</w:t>
            </w:r>
            <w:r w:rsidR="00381AA3" w:rsidRPr="00381AA3">
              <w:rPr>
                <w:color w:val="000000" w:themeColor="text1"/>
                <w:spacing w:val="-2"/>
                <w:sz w:val="16"/>
              </w:rPr>
              <w:t>28</w:t>
            </w:r>
            <w:r w:rsidRPr="00381AA3">
              <w:rPr>
                <w:color w:val="000000" w:themeColor="text1"/>
                <w:spacing w:val="-2"/>
                <w:sz w:val="16"/>
              </w:rPr>
              <w:t>,</w:t>
            </w:r>
            <w:r w:rsidR="00381AA3" w:rsidRPr="00381AA3">
              <w:rPr>
                <w:color w:val="000000" w:themeColor="text1"/>
                <w:spacing w:val="-2"/>
                <w:sz w:val="16"/>
              </w:rPr>
              <w:t>2</w:t>
            </w:r>
            <w:r w:rsidRPr="00381AA3">
              <w:rPr>
                <w:color w:val="000000" w:themeColor="text1"/>
                <w:spacing w:val="-2"/>
                <w:sz w:val="16"/>
              </w:rPr>
              <w:t>00</w:t>
            </w:r>
          </w:p>
        </w:tc>
        <w:tc>
          <w:tcPr>
            <w:tcW w:w="1339" w:type="dxa"/>
            <w:tcBorders>
              <w:top w:val="nil"/>
              <w:left w:val="single" w:sz="8" w:space="0" w:color="000000"/>
              <w:bottom w:val="nil"/>
              <w:right w:val="single" w:sz="8" w:space="0" w:color="000000"/>
            </w:tcBorders>
          </w:tcPr>
          <w:p w14:paraId="7D5D51FA" w14:textId="741D1BDB" w:rsidR="00D42674" w:rsidRPr="00381AA3" w:rsidRDefault="00D42674" w:rsidP="00D42674">
            <w:pPr>
              <w:pStyle w:val="TableParagraph"/>
              <w:spacing w:before="28"/>
              <w:jc w:val="center"/>
              <w:rPr>
                <w:rFonts w:ascii="Arial" w:eastAsia="Source Sans Pro" w:hAnsi="Arial" w:cs="Arial"/>
                <w:color w:val="000000" w:themeColor="text1"/>
                <w:sz w:val="16"/>
                <w:szCs w:val="16"/>
              </w:rPr>
            </w:pPr>
            <w:r w:rsidRPr="00381AA3">
              <w:rPr>
                <w:color w:val="000000" w:themeColor="text1"/>
                <w:spacing w:val="-2"/>
                <w:sz w:val="16"/>
              </w:rPr>
              <w:t>£2</w:t>
            </w:r>
            <w:r w:rsidR="00381AA3" w:rsidRPr="00381AA3">
              <w:rPr>
                <w:color w:val="000000" w:themeColor="text1"/>
                <w:spacing w:val="-2"/>
                <w:sz w:val="16"/>
              </w:rPr>
              <w:t>7</w:t>
            </w:r>
            <w:r w:rsidRPr="00381AA3">
              <w:rPr>
                <w:color w:val="000000" w:themeColor="text1"/>
                <w:spacing w:val="-2"/>
                <w:sz w:val="16"/>
              </w:rPr>
              <w:t>,</w:t>
            </w:r>
            <w:r w:rsidR="00381AA3" w:rsidRPr="00381AA3">
              <w:rPr>
                <w:color w:val="000000" w:themeColor="text1"/>
                <w:spacing w:val="-2"/>
                <w:sz w:val="16"/>
              </w:rPr>
              <w:t>2</w:t>
            </w:r>
            <w:r w:rsidRPr="00381AA3">
              <w:rPr>
                <w:color w:val="000000" w:themeColor="text1"/>
                <w:spacing w:val="-2"/>
                <w:sz w:val="16"/>
              </w:rPr>
              <w:t>00</w:t>
            </w:r>
          </w:p>
        </w:tc>
        <w:tc>
          <w:tcPr>
            <w:tcW w:w="1339" w:type="dxa"/>
            <w:tcBorders>
              <w:top w:val="nil"/>
              <w:left w:val="single" w:sz="8" w:space="0" w:color="000000"/>
              <w:bottom w:val="nil"/>
              <w:right w:val="single" w:sz="8" w:space="0" w:color="000000"/>
            </w:tcBorders>
          </w:tcPr>
          <w:p w14:paraId="001ED617" w14:textId="1409E0D8" w:rsidR="00D42674" w:rsidRPr="00997F53" w:rsidRDefault="00D42674" w:rsidP="00D42674">
            <w:pPr>
              <w:pStyle w:val="TableParagraph"/>
              <w:spacing w:before="28"/>
              <w:jc w:val="center"/>
              <w:rPr>
                <w:rFonts w:ascii="Arial" w:eastAsia="Source Sans Pro" w:hAnsi="Arial" w:cs="Arial"/>
                <w:color w:val="000000" w:themeColor="text1"/>
                <w:sz w:val="16"/>
                <w:szCs w:val="16"/>
              </w:rPr>
            </w:pPr>
            <w:r w:rsidRPr="00997F53">
              <w:rPr>
                <w:color w:val="000000" w:themeColor="text1"/>
                <w:spacing w:val="-2"/>
                <w:sz w:val="16"/>
              </w:rPr>
              <w:t>£2</w:t>
            </w:r>
            <w:r w:rsidR="0092082A" w:rsidRPr="00997F53">
              <w:rPr>
                <w:color w:val="000000" w:themeColor="text1"/>
                <w:spacing w:val="-2"/>
                <w:sz w:val="16"/>
              </w:rPr>
              <w:t>7</w:t>
            </w:r>
            <w:r w:rsidRPr="00997F53">
              <w:rPr>
                <w:color w:val="000000" w:themeColor="text1"/>
                <w:spacing w:val="-2"/>
                <w:sz w:val="16"/>
              </w:rPr>
              <w:t>,</w:t>
            </w:r>
            <w:r w:rsidR="00997F53" w:rsidRPr="00997F53">
              <w:rPr>
                <w:color w:val="000000" w:themeColor="text1"/>
                <w:spacing w:val="-2"/>
                <w:sz w:val="16"/>
              </w:rPr>
              <w:t>3</w:t>
            </w:r>
            <w:r w:rsidRPr="00997F53">
              <w:rPr>
                <w:color w:val="000000" w:themeColor="text1"/>
                <w:spacing w:val="-2"/>
                <w:sz w:val="16"/>
              </w:rPr>
              <w:t>00</w:t>
            </w:r>
          </w:p>
        </w:tc>
        <w:tc>
          <w:tcPr>
            <w:tcW w:w="1339" w:type="dxa"/>
            <w:tcBorders>
              <w:top w:val="nil"/>
              <w:left w:val="single" w:sz="8" w:space="0" w:color="000000"/>
              <w:bottom w:val="nil"/>
              <w:right w:val="single" w:sz="8" w:space="0" w:color="000000"/>
            </w:tcBorders>
          </w:tcPr>
          <w:p w14:paraId="3A07E3FB" w14:textId="5417187B" w:rsidR="00D42674" w:rsidRPr="00997F53" w:rsidRDefault="00D42674" w:rsidP="00D42674">
            <w:pPr>
              <w:pStyle w:val="TableParagraph"/>
              <w:spacing w:before="28"/>
              <w:jc w:val="center"/>
              <w:rPr>
                <w:rFonts w:ascii="Arial" w:eastAsia="Source Sans Pro" w:hAnsi="Arial" w:cs="Arial"/>
                <w:color w:val="000000" w:themeColor="text1"/>
                <w:sz w:val="16"/>
                <w:szCs w:val="16"/>
              </w:rPr>
            </w:pPr>
            <w:r w:rsidRPr="00997F53">
              <w:rPr>
                <w:color w:val="000000" w:themeColor="text1"/>
                <w:spacing w:val="-2"/>
                <w:sz w:val="16"/>
              </w:rPr>
              <w:t>£2</w:t>
            </w:r>
            <w:r w:rsidR="0092082A" w:rsidRPr="00997F53">
              <w:rPr>
                <w:color w:val="000000" w:themeColor="text1"/>
                <w:spacing w:val="-2"/>
                <w:sz w:val="16"/>
              </w:rPr>
              <w:t>6</w:t>
            </w:r>
            <w:r w:rsidRPr="00997F53">
              <w:rPr>
                <w:color w:val="000000" w:themeColor="text1"/>
                <w:spacing w:val="-2"/>
                <w:sz w:val="16"/>
              </w:rPr>
              <w:t>,</w:t>
            </w:r>
            <w:r w:rsidR="00997F53" w:rsidRPr="00997F53">
              <w:rPr>
                <w:color w:val="000000" w:themeColor="text1"/>
                <w:spacing w:val="-2"/>
                <w:sz w:val="16"/>
              </w:rPr>
              <w:t>4</w:t>
            </w:r>
            <w:r w:rsidRPr="00997F53">
              <w:rPr>
                <w:color w:val="000000" w:themeColor="text1"/>
                <w:spacing w:val="-2"/>
                <w:sz w:val="16"/>
              </w:rPr>
              <w:t>00</w:t>
            </w:r>
          </w:p>
        </w:tc>
      </w:tr>
      <w:tr w:rsidR="00A51A9C" w:rsidRPr="00A51A9C" w14:paraId="67037ABA" w14:textId="77777777" w:rsidTr="00CF7ED5">
        <w:trPr>
          <w:trHeight w:hRule="exact" w:val="281"/>
        </w:trPr>
        <w:tc>
          <w:tcPr>
            <w:tcW w:w="936" w:type="dxa"/>
            <w:tcBorders>
              <w:top w:val="nil"/>
              <w:left w:val="single" w:sz="8" w:space="0" w:color="000000"/>
              <w:right w:val="single" w:sz="8" w:space="0" w:color="000000"/>
            </w:tcBorders>
          </w:tcPr>
          <w:p w14:paraId="482C3F13" w14:textId="77777777" w:rsidR="00D42674" w:rsidRPr="00CF7ED5" w:rsidRDefault="00D42674" w:rsidP="00D42674">
            <w:pPr>
              <w:pStyle w:val="TableParagraph"/>
              <w:spacing w:before="28"/>
              <w:ind w:left="4"/>
              <w:jc w:val="center"/>
              <w:rPr>
                <w:rFonts w:ascii="Arial" w:eastAsia="Source Sans Pro" w:hAnsi="Arial" w:cs="Arial"/>
                <w:color w:val="000000" w:themeColor="text1"/>
                <w:sz w:val="16"/>
                <w:szCs w:val="16"/>
              </w:rPr>
            </w:pPr>
            <w:r w:rsidRPr="00CF7ED5">
              <w:rPr>
                <w:rFonts w:ascii="Arial" w:hAnsi="Arial" w:cs="Arial"/>
                <w:b/>
                <w:color w:val="000000" w:themeColor="text1"/>
                <w:spacing w:val="-1"/>
                <w:w w:val="105"/>
                <w:sz w:val="16"/>
                <w:szCs w:val="16"/>
              </w:rPr>
              <w:t>10</w:t>
            </w:r>
          </w:p>
        </w:tc>
        <w:tc>
          <w:tcPr>
            <w:tcW w:w="1339" w:type="dxa"/>
            <w:tcBorders>
              <w:top w:val="nil"/>
              <w:left w:val="single" w:sz="8" w:space="0" w:color="000000"/>
              <w:right w:val="single" w:sz="8" w:space="0" w:color="000000"/>
            </w:tcBorders>
          </w:tcPr>
          <w:p w14:paraId="647C8AA6" w14:textId="596DAD7E" w:rsidR="00D42674" w:rsidRPr="00C216FC" w:rsidRDefault="00D42674" w:rsidP="00D42674">
            <w:pPr>
              <w:pStyle w:val="TableParagraph"/>
              <w:spacing w:before="28"/>
              <w:jc w:val="center"/>
              <w:rPr>
                <w:rFonts w:ascii="Arial" w:eastAsia="Source Sans Pro" w:hAnsi="Arial" w:cs="Arial"/>
                <w:color w:val="000000" w:themeColor="text1"/>
                <w:sz w:val="16"/>
                <w:szCs w:val="16"/>
              </w:rPr>
            </w:pPr>
            <w:r w:rsidRPr="00C216FC">
              <w:rPr>
                <w:color w:val="000000" w:themeColor="text1"/>
                <w:spacing w:val="-2"/>
                <w:sz w:val="16"/>
              </w:rPr>
              <w:t>£</w:t>
            </w:r>
            <w:r w:rsidR="00CF7ED5" w:rsidRPr="00C216FC">
              <w:rPr>
                <w:color w:val="000000" w:themeColor="text1"/>
                <w:spacing w:val="-2"/>
                <w:sz w:val="16"/>
              </w:rPr>
              <w:t>3</w:t>
            </w:r>
            <w:r w:rsidR="00CD538E" w:rsidRPr="00C216FC">
              <w:rPr>
                <w:color w:val="000000" w:themeColor="text1"/>
                <w:spacing w:val="-2"/>
                <w:sz w:val="16"/>
              </w:rPr>
              <w:t>0</w:t>
            </w:r>
            <w:r w:rsidRPr="00C216FC">
              <w:rPr>
                <w:color w:val="000000" w:themeColor="text1"/>
                <w:spacing w:val="-2"/>
                <w:sz w:val="16"/>
              </w:rPr>
              <w:t>,</w:t>
            </w:r>
            <w:r w:rsidR="00CD538E" w:rsidRPr="00C216FC">
              <w:rPr>
                <w:color w:val="000000" w:themeColor="text1"/>
                <w:spacing w:val="-2"/>
                <w:sz w:val="16"/>
              </w:rPr>
              <w:t>6</w:t>
            </w:r>
            <w:r w:rsidRPr="00C216FC">
              <w:rPr>
                <w:color w:val="000000" w:themeColor="text1"/>
                <w:spacing w:val="-2"/>
                <w:sz w:val="16"/>
              </w:rPr>
              <w:t>00</w:t>
            </w:r>
          </w:p>
        </w:tc>
        <w:tc>
          <w:tcPr>
            <w:tcW w:w="1339" w:type="dxa"/>
            <w:tcBorders>
              <w:top w:val="nil"/>
              <w:left w:val="single" w:sz="8" w:space="0" w:color="000000"/>
              <w:right w:val="single" w:sz="8" w:space="0" w:color="000000"/>
            </w:tcBorders>
          </w:tcPr>
          <w:p w14:paraId="18DFFED7" w14:textId="526A635A" w:rsidR="00D42674" w:rsidRPr="00C216FC" w:rsidRDefault="00D42674" w:rsidP="00D42674">
            <w:pPr>
              <w:pStyle w:val="TableParagraph"/>
              <w:spacing w:before="28"/>
              <w:jc w:val="center"/>
              <w:rPr>
                <w:rFonts w:ascii="Arial" w:eastAsia="Source Sans Pro" w:hAnsi="Arial" w:cs="Arial"/>
                <w:color w:val="000000" w:themeColor="text1"/>
                <w:sz w:val="16"/>
                <w:szCs w:val="16"/>
              </w:rPr>
            </w:pPr>
            <w:r w:rsidRPr="00C216FC">
              <w:rPr>
                <w:color w:val="000000" w:themeColor="text1"/>
                <w:spacing w:val="-2"/>
                <w:sz w:val="16"/>
              </w:rPr>
              <w:t>£</w:t>
            </w:r>
            <w:r w:rsidR="00CD538E" w:rsidRPr="00C216FC">
              <w:rPr>
                <w:color w:val="000000" w:themeColor="text1"/>
                <w:spacing w:val="-2"/>
                <w:sz w:val="16"/>
              </w:rPr>
              <w:t>28</w:t>
            </w:r>
            <w:r w:rsidRPr="00C216FC">
              <w:rPr>
                <w:color w:val="000000" w:themeColor="text1"/>
                <w:spacing w:val="-2"/>
                <w:sz w:val="16"/>
              </w:rPr>
              <w:t>,</w:t>
            </w:r>
            <w:r w:rsidR="00CD538E" w:rsidRPr="00C216FC">
              <w:rPr>
                <w:color w:val="000000" w:themeColor="text1"/>
                <w:spacing w:val="-2"/>
                <w:sz w:val="16"/>
              </w:rPr>
              <w:t>8</w:t>
            </w:r>
            <w:r w:rsidRPr="00C216FC">
              <w:rPr>
                <w:color w:val="000000" w:themeColor="text1"/>
                <w:spacing w:val="-2"/>
                <w:sz w:val="16"/>
              </w:rPr>
              <w:t>00</w:t>
            </w:r>
          </w:p>
        </w:tc>
        <w:tc>
          <w:tcPr>
            <w:tcW w:w="1339" w:type="dxa"/>
            <w:tcBorders>
              <w:top w:val="nil"/>
              <w:left w:val="single" w:sz="8" w:space="0" w:color="000000"/>
              <w:right w:val="single" w:sz="8" w:space="0" w:color="000000"/>
            </w:tcBorders>
          </w:tcPr>
          <w:p w14:paraId="64402D3C" w14:textId="6F33E88F" w:rsidR="00D42674" w:rsidRPr="00381AA3" w:rsidRDefault="00D42674" w:rsidP="00D42674">
            <w:pPr>
              <w:pStyle w:val="TableParagraph"/>
              <w:spacing w:before="28"/>
              <w:jc w:val="center"/>
              <w:rPr>
                <w:rFonts w:ascii="Arial" w:eastAsia="Source Sans Pro" w:hAnsi="Arial" w:cs="Arial"/>
                <w:color w:val="000000" w:themeColor="text1"/>
                <w:sz w:val="16"/>
                <w:szCs w:val="16"/>
              </w:rPr>
            </w:pPr>
            <w:r w:rsidRPr="00381AA3">
              <w:rPr>
                <w:color w:val="000000" w:themeColor="text1"/>
                <w:spacing w:val="-2"/>
                <w:sz w:val="16"/>
              </w:rPr>
              <w:t>£3</w:t>
            </w:r>
            <w:r w:rsidR="00381AA3" w:rsidRPr="00381AA3">
              <w:rPr>
                <w:color w:val="000000" w:themeColor="text1"/>
                <w:spacing w:val="-2"/>
                <w:sz w:val="16"/>
              </w:rPr>
              <w:t>1</w:t>
            </w:r>
            <w:r w:rsidRPr="00381AA3">
              <w:rPr>
                <w:color w:val="000000" w:themeColor="text1"/>
                <w:spacing w:val="-2"/>
                <w:sz w:val="16"/>
              </w:rPr>
              <w:t>,</w:t>
            </w:r>
            <w:r w:rsidR="00381AA3" w:rsidRPr="00381AA3">
              <w:rPr>
                <w:color w:val="000000" w:themeColor="text1"/>
                <w:spacing w:val="-2"/>
                <w:sz w:val="16"/>
              </w:rPr>
              <w:t>8</w:t>
            </w:r>
            <w:r w:rsidRPr="00381AA3">
              <w:rPr>
                <w:color w:val="000000" w:themeColor="text1"/>
                <w:spacing w:val="-2"/>
                <w:sz w:val="16"/>
              </w:rPr>
              <w:t>00</w:t>
            </w:r>
          </w:p>
        </w:tc>
        <w:tc>
          <w:tcPr>
            <w:tcW w:w="1339" w:type="dxa"/>
            <w:tcBorders>
              <w:top w:val="nil"/>
              <w:left w:val="single" w:sz="8" w:space="0" w:color="000000"/>
              <w:right w:val="single" w:sz="8" w:space="0" w:color="000000"/>
            </w:tcBorders>
          </w:tcPr>
          <w:p w14:paraId="0D143A4E" w14:textId="401ABE6D" w:rsidR="00D42674" w:rsidRPr="00381AA3" w:rsidRDefault="00D42674" w:rsidP="00D42674">
            <w:pPr>
              <w:pStyle w:val="TableParagraph"/>
              <w:spacing w:before="28"/>
              <w:jc w:val="center"/>
              <w:rPr>
                <w:rFonts w:ascii="Arial" w:eastAsia="Source Sans Pro" w:hAnsi="Arial" w:cs="Arial"/>
                <w:color w:val="000000" w:themeColor="text1"/>
                <w:sz w:val="16"/>
                <w:szCs w:val="16"/>
              </w:rPr>
            </w:pPr>
            <w:r w:rsidRPr="00381AA3">
              <w:rPr>
                <w:color w:val="000000" w:themeColor="text1"/>
                <w:spacing w:val="-2"/>
                <w:sz w:val="16"/>
              </w:rPr>
              <w:t>£</w:t>
            </w:r>
            <w:r w:rsidR="00381AA3" w:rsidRPr="00381AA3">
              <w:rPr>
                <w:color w:val="000000" w:themeColor="text1"/>
                <w:spacing w:val="-2"/>
                <w:sz w:val="16"/>
              </w:rPr>
              <w:t>29</w:t>
            </w:r>
            <w:r w:rsidRPr="00381AA3">
              <w:rPr>
                <w:color w:val="000000" w:themeColor="text1"/>
                <w:spacing w:val="-2"/>
                <w:sz w:val="16"/>
              </w:rPr>
              <w:t>,</w:t>
            </w:r>
            <w:r w:rsidR="00381AA3" w:rsidRPr="00381AA3">
              <w:rPr>
                <w:color w:val="000000" w:themeColor="text1"/>
                <w:spacing w:val="-2"/>
                <w:sz w:val="16"/>
              </w:rPr>
              <w:t>7</w:t>
            </w:r>
            <w:r w:rsidRPr="00381AA3">
              <w:rPr>
                <w:color w:val="000000" w:themeColor="text1"/>
                <w:spacing w:val="-2"/>
                <w:sz w:val="16"/>
              </w:rPr>
              <w:t>00</w:t>
            </w:r>
          </w:p>
        </w:tc>
        <w:tc>
          <w:tcPr>
            <w:tcW w:w="1339" w:type="dxa"/>
            <w:tcBorders>
              <w:top w:val="nil"/>
              <w:left w:val="single" w:sz="8" w:space="0" w:color="000000"/>
              <w:right w:val="single" w:sz="8" w:space="0" w:color="000000"/>
            </w:tcBorders>
          </w:tcPr>
          <w:p w14:paraId="5C0D7E34" w14:textId="61C049DB" w:rsidR="00D42674" w:rsidRPr="00997F53" w:rsidRDefault="00D42674" w:rsidP="00D42674">
            <w:pPr>
              <w:pStyle w:val="TableParagraph"/>
              <w:spacing w:before="28"/>
              <w:jc w:val="center"/>
              <w:rPr>
                <w:rFonts w:ascii="Arial" w:eastAsia="Source Sans Pro" w:hAnsi="Arial" w:cs="Arial"/>
                <w:color w:val="000000" w:themeColor="text1"/>
                <w:sz w:val="16"/>
                <w:szCs w:val="16"/>
              </w:rPr>
            </w:pPr>
            <w:r w:rsidRPr="00997F53">
              <w:rPr>
                <w:color w:val="000000" w:themeColor="text1"/>
                <w:spacing w:val="-2"/>
                <w:sz w:val="16"/>
              </w:rPr>
              <w:t>£</w:t>
            </w:r>
            <w:r w:rsidR="00997F53" w:rsidRPr="00997F53">
              <w:rPr>
                <w:color w:val="000000" w:themeColor="text1"/>
                <w:spacing w:val="-2"/>
                <w:sz w:val="16"/>
              </w:rPr>
              <w:t>29,8</w:t>
            </w:r>
            <w:r w:rsidRPr="00997F53">
              <w:rPr>
                <w:color w:val="000000" w:themeColor="text1"/>
                <w:spacing w:val="-2"/>
                <w:sz w:val="16"/>
              </w:rPr>
              <w:t>00</w:t>
            </w:r>
          </w:p>
        </w:tc>
        <w:tc>
          <w:tcPr>
            <w:tcW w:w="1339" w:type="dxa"/>
            <w:tcBorders>
              <w:top w:val="nil"/>
              <w:left w:val="single" w:sz="8" w:space="0" w:color="000000"/>
              <w:right w:val="single" w:sz="8" w:space="0" w:color="000000"/>
            </w:tcBorders>
          </w:tcPr>
          <w:p w14:paraId="0CAF6FC1" w14:textId="67FBF473" w:rsidR="00D42674" w:rsidRPr="00997F53" w:rsidRDefault="00D42674" w:rsidP="00D42674">
            <w:pPr>
              <w:pStyle w:val="TableParagraph"/>
              <w:spacing w:before="28"/>
              <w:jc w:val="center"/>
              <w:rPr>
                <w:rFonts w:ascii="Arial" w:eastAsia="Source Sans Pro" w:hAnsi="Arial" w:cs="Arial"/>
                <w:color w:val="000000" w:themeColor="text1"/>
                <w:sz w:val="16"/>
                <w:szCs w:val="16"/>
              </w:rPr>
            </w:pPr>
            <w:r w:rsidRPr="00997F53">
              <w:rPr>
                <w:color w:val="000000" w:themeColor="text1"/>
                <w:spacing w:val="-2"/>
                <w:sz w:val="16"/>
              </w:rPr>
              <w:t>£2</w:t>
            </w:r>
            <w:r w:rsidR="00997F53" w:rsidRPr="00997F53">
              <w:rPr>
                <w:color w:val="000000" w:themeColor="text1"/>
                <w:spacing w:val="-2"/>
                <w:sz w:val="16"/>
              </w:rPr>
              <w:t>7</w:t>
            </w:r>
            <w:r w:rsidRPr="00997F53">
              <w:rPr>
                <w:color w:val="000000" w:themeColor="text1"/>
                <w:spacing w:val="-2"/>
                <w:sz w:val="16"/>
              </w:rPr>
              <w:t>,</w:t>
            </w:r>
            <w:r w:rsidR="00997F53" w:rsidRPr="00997F53">
              <w:rPr>
                <w:color w:val="000000" w:themeColor="text1"/>
                <w:spacing w:val="-2"/>
                <w:sz w:val="16"/>
              </w:rPr>
              <w:t>9</w:t>
            </w:r>
            <w:r w:rsidRPr="00997F53">
              <w:rPr>
                <w:color w:val="000000" w:themeColor="text1"/>
                <w:spacing w:val="-2"/>
                <w:sz w:val="16"/>
              </w:rPr>
              <w:t>00</w:t>
            </w:r>
          </w:p>
        </w:tc>
      </w:tr>
      <w:tr w:rsidR="00A51A9C" w:rsidRPr="00A51A9C" w14:paraId="27DE2542" w14:textId="77777777" w:rsidTr="00CF7ED5">
        <w:trPr>
          <w:trHeight w:hRule="exact" w:val="281"/>
        </w:trPr>
        <w:tc>
          <w:tcPr>
            <w:tcW w:w="936" w:type="dxa"/>
            <w:tcBorders>
              <w:top w:val="nil"/>
              <w:left w:val="single" w:sz="8" w:space="0" w:color="000000"/>
              <w:bottom w:val="single" w:sz="4" w:space="0" w:color="auto"/>
              <w:right w:val="single" w:sz="8" w:space="0" w:color="000000"/>
            </w:tcBorders>
          </w:tcPr>
          <w:p w14:paraId="0B8818C0" w14:textId="77777777" w:rsidR="00D42674" w:rsidRPr="0001320F" w:rsidRDefault="00D42674" w:rsidP="00D42674">
            <w:pPr>
              <w:pStyle w:val="TableParagraph"/>
              <w:spacing w:before="28"/>
              <w:ind w:left="4"/>
              <w:jc w:val="center"/>
              <w:rPr>
                <w:rFonts w:ascii="Arial" w:eastAsia="Source Sans Pro" w:hAnsi="Arial" w:cs="Arial"/>
                <w:color w:val="000000" w:themeColor="text1"/>
                <w:sz w:val="16"/>
                <w:szCs w:val="16"/>
              </w:rPr>
            </w:pPr>
            <w:r w:rsidRPr="0001320F">
              <w:rPr>
                <w:rFonts w:ascii="Arial" w:hAnsi="Arial" w:cs="Arial"/>
                <w:b/>
                <w:color w:val="000000" w:themeColor="text1"/>
                <w:spacing w:val="-1"/>
                <w:w w:val="105"/>
                <w:sz w:val="16"/>
                <w:szCs w:val="16"/>
              </w:rPr>
              <w:t>15</w:t>
            </w:r>
          </w:p>
        </w:tc>
        <w:tc>
          <w:tcPr>
            <w:tcW w:w="1339" w:type="dxa"/>
            <w:tcBorders>
              <w:top w:val="nil"/>
              <w:left w:val="single" w:sz="8" w:space="0" w:color="000000"/>
              <w:bottom w:val="single" w:sz="4" w:space="0" w:color="auto"/>
              <w:right w:val="single" w:sz="8" w:space="0" w:color="000000"/>
            </w:tcBorders>
          </w:tcPr>
          <w:p w14:paraId="7F2A35CB" w14:textId="58D479A3" w:rsidR="00D42674" w:rsidRPr="00C216FC" w:rsidRDefault="00D42674" w:rsidP="00D42674">
            <w:pPr>
              <w:pStyle w:val="TableParagraph"/>
              <w:spacing w:before="28"/>
              <w:jc w:val="center"/>
              <w:rPr>
                <w:rFonts w:ascii="Arial" w:eastAsia="Source Sans Pro" w:hAnsi="Arial" w:cs="Arial"/>
                <w:color w:val="000000" w:themeColor="text1"/>
                <w:sz w:val="16"/>
                <w:szCs w:val="16"/>
              </w:rPr>
            </w:pPr>
            <w:r w:rsidRPr="00C216FC">
              <w:rPr>
                <w:color w:val="000000" w:themeColor="text1"/>
                <w:spacing w:val="-2"/>
                <w:sz w:val="16"/>
              </w:rPr>
              <w:t>£3</w:t>
            </w:r>
            <w:r w:rsidR="00CD538E" w:rsidRPr="00C216FC">
              <w:rPr>
                <w:color w:val="000000" w:themeColor="text1"/>
                <w:spacing w:val="-2"/>
                <w:sz w:val="16"/>
              </w:rPr>
              <w:t>3</w:t>
            </w:r>
            <w:r w:rsidRPr="00C216FC">
              <w:rPr>
                <w:color w:val="000000" w:themeColor="text1"/>
                <w:spacing w:val="-2"/>
                <w:sz w:val="16"/>
              </w:rPr>
              <w:t>,</w:t>
            </w:r>
            <w:r w:rsidR="00CD538E" w:rsidRPr="00C216FC">
              <w:rPr>
                <w:color w:val="000000" w:themeColor="text1"/>
                <w:spacing w:val="-2"/>
                <w:sz w:val="16"/>
              </w:rPr>
              <w:t>9</w:t>
            </w:r>
            <w:r w:rsidRPr="00C216FC">
              <w:rPr>
                <w:color w:val="000000" w:themeColor="text1"/>
                <w:spacing w:val="-2"/>
                <w:sz w:val="16"/>
              </w:rPr>
              <w:t>00</w:t>
            </w:r>
          </w:p>
        </w:tc>
        <w:tc>
          <w:tcPr>
            <w:tcW w:w="1339" w:type="dxa"/>
            <w:tcBorders>
              <w:top w:val="nil"/>
              <w:left w:val="single" w:sz="8" w:space="0" w:color="000000"/>
              <w:bottom w:val="single" w:sz="4" w:space="0" w:color="auto"/>
              <w:right w:val="single" w:sz="8" w:space="0" w:color="000000"/>
            </w:tcBorders>
          </w:tcPr>
          <w:p w14:paraId="115EA7DB" w14:textId="2DDA7D26" w:rsidR="00D42674" w:rsidRPr="00C216FC" w:rsidRDefault="00D42674" w:rsidP="00D42674">
            <w:pPr>
              <w:pStyle w:val="TableParagraph"/>
              <w:spacing w:before="28"/>
              <w:jc w:val="center"/>
              <w:rPr>
                <w:rFonts w:ascii="Arial" w:eastAsia="Source Sans Pro" w:hAnsi="Arial" w:cs="Arial"/>
                <w:color w:val="000000" w:themeColor="text1"/>
                <w:sz w:val="16"/>
                <w:szCs w:val="16"/>
              </w:rPr>
            </w:pPr>
            <w:r w:rsidRPr="00C216FC">
              <w:rPr>
                <w:color w:val="000000" w:themeColor="text1"/>
                <w:spacing w:val="-2"/>
                <w:sz w:val="16"/>
              </w:rPr>
              <w:t>£</w:t>
            </w:r>
            <w:r w:rsidR="0001320F" w:rsidRPr="00C216FC">
              <w:rPr>
                <w:color w:val="000000" w:themeColor="text1"/>
                <w:spacing w:val="-2"/>
                <w:sz w:val="16"/>
              </w:rPr>
              <w:t>3</w:t>
            </w:r>
            <w:r w:rsidR="00CD538E" w:rsidRPr="00C216FC">
              <w:rPr>
                <w:color w:val="000000" w:themeColor="text1"/>
                <w:spacing w:val="-2"/>
                <w:sz w:val="16"/>
              </w:rPr>
              <w:t>0</w:t>
            </w:r>
            <w:r w:rsidR="0001320F" w:rsidRPr="00C216FC">
              <w:rPr>
                <w:color w:val="000000" w:themeColor="text1"/>
                <w:spacing w:val="-2"/>
                <w:sz w:val="16"/>
              </w:rPr>
              <w:t>,</w:t>
            </w:r>
            <w:r w:rsidR="00CD538E" w:rsidRPr="00C216FC">
              <w:rPr>
                <w:color w:val="000000" w:themeColor="text1"/>
                <w:spacing w:val="-2"/>
                <w:sz w:val="16"/>
              </w:rPr>
              <w:t>8</w:t>
            </w:r>
            <w:r w:rsidR="0001320F" w:rsidRPr="00C216FC">
              <w:rPr>
                <w:color w:val="000000" w:themeColor="text1"/>
                <w:spacing w:val="-2"/>
                <w:sz w:val="16"/>
              </w:rPr>
              <w:t>00</w:t>
            </w:r>
          </w:p>
        </w:tc>
        <w:tc>
          <w:tcPr>
            <w:tcW w:w="1339" w:type="dxa"/>
            <w:tcBorders>
              <w:top w:val="nil"/>
              <w:left w:val="single" w:sz="8" w:space="0" w:color="000000"/>
              <w:bottom w:val="single" w:sz="4" w:space="0" w:color="auto"/>
              <w:right w:val="single" w:sz="8" w:space="0" w:color="000000"/>
            </w:tcBorders>
          </w:tcPr>
          <w:p w14:paraId="775A40D1" w14:textId="55F07C84" w:rsidR="00D42674" w:rsidRPr="00381AA3" w:rsidRDefault="00D42674" w:rsidP="00D42674">
            <w:pPr>
              <w:pStyle w:val="TableParagraph"/>
              <w:spacing w:before="28"/>
              <w:jc w:val="center"/>
              <w:rPr>
                <w:rFonts w:ascii="Arial" w:eastAsia="Source Sans Pro" w:hAnsi="Arial" w:cs="Arial"/>
                <w:color w:val="000000" w:themeColor="text1"/>
                <w:sz w:val="16"/>
                <w:szCs w:val="16"/>
              </w:rPr>
            </w:pPr>
            <w:r w:rsidRPr="00381AA3">
              <w:rPr>
                <w:color w:val="000000" w:themeColor="text1"/>
                <w:spacing w:val="-2"/>
                <w:sz w:val="16"/>
              </w:rPr>
              <w:t>£</w:t>
            </w:r>
            <w:r w:rsidR="00381AA3" w:rsidRPr="00381AA3">
              <w:rPr>
                <w:color w:val="000000" w:themeColor="text1"/>
                <w:spacing w:val="-2"/>
                <w:sz w:val="16"/>
              </w:rPr>
              <w:t>35</w:t>
            </w:r>
            <w:r w:rsidRPr="00381AA3">
              <w:rPr>
                <w:color w:val="000000" w:themeColor="text1"/>
                <w:spacing w:val="-2"/>
                <w:sz w:val="16"/>
              </w:rPr>
              <w:t>,</w:t>
            </w:r>
            <w:r w:rsidR="00381AA3" w:rsidRPr="00381AA3">
              <w:rPr>
                <w:color w:val="000000" w:themeColor="text1"/>
                <w:spacing w:val="-2"/>
                <w:sz w:val="16"/>
              </w:rPr>
              <w:t>9</w:t>
            </w:r>
            <w:r w:rsidRPr="00381AA3">
              <w:rPr>
                <w:color w:val="000000" w:themeColor="text1"/>
                <w:spacing w:val="-2"/>
                <w:sz w:val="16"/>
              </w:rPr>
              <w:t>00</w:t>
            </w:r>
          </w:p>
        </w:tc>
        <w:tc>
          <w:tcPr>
            <w:tcW w:w="1339" w:type="dxa"/>
            <w:tcBorders>
              <w:top w:val="nil"/>
              <w:left w:val="single" w:sz="8" w:space="0" w:color="000000"/>
              <w:bottom w:val="single" w:sz="4" w:space="0" w:color="auto"/>
              <w:right w:val="single" w:sz="8" w:space="0" w:color="000000"/>
            </w:tcBorders>
          </w:tcPr>
          <w:p w14:paraId="5C757DF9" w14:textId="7FCB32D5" w:rsidR="00D42674" w:rsidRPr="00381AA3" w:rsidRDefault="00D42674" w:rsidP="00D42674">
            <w:pPr>
              <w:pStyle w:val="TableParagraph"/>
              <w:spacing w:before="28"/>
              <w:jc w:val="center"/>
              <w:rPr>
                <w:rFonts w:ascii="Arial" w:eastAsia="Source Sans Pro" w:hAnsi="Arial" w:cs="Arial"/>
                <w:color w:val="000000" w:themeColor="text1"/>
                <w:sz w:val="16"/>
                <w:szCs w:val="16"/>
              </w:rPr>
            </w:pPr>
            <w:r w:rsidRPr="00381AA3">
              <w:rPr>
                <w:color w:val="000000" w:themeColor="text1"/>
                <w:spacing w:val="-2"/>
                <w:sz w:val="16"/>
              </w:rPr>
              <w:t>£</w:t>
            </w:r>
            <w:r w:rsidR="00381AA3" w:rsidRPr="00381AA3">
              <w:rPr>
                <w:color w:val="000000" w:themeColor="text1"/>
                <w:spacing w:val="-2"/>
                <w:sz w:val="16"/>
              </w:rPr>
              <w:t>32</w:t>
            </w:r>
            <w:r w:rsidRPr="00381AA3">
              <w:rPr>
                <w:color w:val="000000" w:themeColor="text1"/>
                <w:spacing w:val="-2"/>
                <w:sz w:val="16"/>
              </w:rPr>
              <w:t>,</w:t>
            </w:r>
            <w:r w:rsidR="00381AA3" w:rsidRPr="00381AA3">
              <w:rPr>
                <w:color w:val="000000" w:themeColor="text1"/>
                <w:spacing w:val="-2"/>
                <w:sz w:val="16"/>
              </w:rPr>
              <w:t>3</w:t>
            </w:r>
            <w:r w:rsidRPr="00381AA3">
              <w:rPr>
                <w:color w:val="000000" w:themeColor="text1"/>
                <w:spacing w:val="-2"/>
                <w:sz w:val="16"/>
              </w:rPr>
              <w:t>00</w:t>
            </w:r>
          </w:p>
        </w:tc>
        <w:tc>
          <w:tcPr>
            <w:tcW w:w="1339" w:type="dxa"/>
            <w:tcBorders>
              <w:top w:val="nil"/>
              <w:left w:val="single" w:sz="8" w:space="0" w:color="000000"/>
              <w:bottom w:val="single" w:sz="4" w:space="0" w:color="auto"/>
              <w:right w:val="single" w:sz="8" w:space="0" w:color="000000"/>
            </w:tcBorders>
          </w:tcPr>
          <w:p w14:paraId="226E909A" w14:textId="232ED128" w:rsidR="00D42674" w:rsidRPr="00997F53" w:rsidRDefault="00D42674" w:rsidP="00D42674">
            <w:pPr>
              <w:pStyle w:val="TableParagraph"/>
              <w:spacing w:before="28"/>
              <w:jc w:val="center"/>
              <w:rPr>
                <w:rFonts w:ascii="Arial" w:eastAsia="Source Sans Pro" w:hAnsi="Arial" w:cs="Arial"/>
                <w:color w:val="000000" w:themeColor="text1"/>
                <w:sz w:val="16"/>
                <w:szCs w:val="16"/>
              </w:rPr>
            </w:pPr>
            <w:r w:rsidRPr="00997F53">
              <w:rPr>
                <w:color w:val="000000" w:themeColor="text1"/>
                <w:spacing w:val="-2"/>
                <w:sz w:val="16"/>
              </w:rPr>
              <w:t>£</w:t>
            </w:r>
            <w:r w:rsidR="001009B8" w:rsidRPr="00997F53">
              <w:rPr>
                <w:color w:val="000000" w:themeColor="text1"/>
                <w:spacing w:val="-2"/>
                <w:sz w:val="16"/>
              </w:rPr>
              <w:t>32</w:t>
            </w:r>
            <w:r w:rsidRPr="00997F53">
              <w:rPr>
                <w:color w:val="000000" w:themeColor="text1"/>
                <w:spacing w:val="-2"/>
                <w:sz w:val="16"/>
              </w:rPr>
              <w:t>,</w:t>
            </w:r>
            <w:r w:rsidR="00997F53" w:rsidRPr="00997F53">
              <w:rPr>
                <w:color w:val="000000" w:themeColor="text1"/>
                <w:spacing w:val="-2"/>
                <w:sz w:val="16"/>
              </w:rPr>
              <w:t>5</w:t>
            </w:r>
            <w:r w:rsidRPr="00997F53">
              <w:rPr>
                <w:color w:val="000000" w:themeColor="text1"/>
                <w:spacing w:val="-2"/>
                <w:sz w:val="16"/>
              </w:rPr>
              <w:t>00</w:t>
            </w:r>
          </w:p>
        </w:tc>
        <w:tc>
          <w:tcPr>
            <w:tcW w:w="1339" w:type="dxa"/>
            <w:tcBorders>
              <w:top w:val="nil"/>
              <w:left w:val="single" w:sz="8" w:space="0" w:color="000000"/>
              <w:bottom w:val="single" w:sz="4" w:space="0" w:color="auto"/>
              <w:right w:val="single" w:sz="8" w:space="0" w:color="000000"/>
            </w:tcBorders>
          </w:tcPr>
          <w:p w14:paraId="06AE20F1" w14:textId="563BE26F" w:rsidR="00D42674" w:rsidRPr="00997F53" w:rsidRDefault="00D42674" w:rsidP="00D42674">
            <w:pPr>
              <w:pStyle w:val="TableParagraph"/>
              <w:spacing w:before="28"/>
              <w:jc w:val="center"/>
              <w:rPr>
                <w:rFonts w:ascii="Arial" w:eastAsia="Source Sans Pro" w:hAnsi="Arial" w:cs="Arial"/>
                <w:color w:val="000000" w:themeColor="text1"/>
                <w:sz w:val="16"/>
                <w:szCs w:val="16"/>
              </w:rPr>
            </w:pPr>
            <w:r w:rsidRPr="00997F53">
              <w:rPr>
                <w:color w:val="000000" w:themeColor="text1"/>
                <w:spacing w:val="-2"/>
                <w:sz w:val="16"/>
              </w:rPr>
              <w:t>£2</w:t>
            </w:r>
            <w:r w:rsidR="001009B8" w:rsidRPr="00997F53">
              <w:rPr>
                <w:color w:val="000000" w:themeColor="text1"/>
                <w:spacing w:val="-2"/>
                <w:sz w:val="16"/>
              </w:rPr>
              <w:t>9</w:t>
            </w:r>
            <w:r w:rsidRPr="00997F53">
              <w:rPr>
                <w:color w:val="000000" w:themeColor="text1"/>
                <w:spacing w:val="-2"/>
                <w:sz w:val="16"/>
              </w:rPr>
              <w:t>,</w:t>
            </w:r>
            <w:r w:rsidR="00997F53" w:rsidRPr="00997F53">
              <w:rPr>
                <w:color w:val="000000" w:themeColor="text1"/>
                <w:spacing w:val="-2"/>
                <w:sz w:val="16"/>
              </w:rPr>
              <w:t>5</w:t>
            </w:r>
            <w:r w:rsidRPr="00997F53">
              <w:rPr>
                <w:color w:val="000000" w:themeColor="text1"/>
                <w:spacing w:val="-2"/>
                <w:sz w:val="16"/>
              </w:rPr>
              <w:t>00</w:t>
            </w:r>
          </w:p>
        </w:tc>
      </w:tr>
    </w:tbl>
    <w:p w14:paraId="583AE160" w14:textId="04B758EC" w:rsidR="003A550B" w:rsidRPr="001009B8" w:rsidRDefault="003A550B" w:rsidP="003A550B">
      <w:pPr>
        <w:spacing w:after="0" w:line="240" w:lineRule="auto"/>
        <w:ind w:left="0" w:firstLine="0"/>
        <w:rPr>
          <w:rFonts w:asciiTheme="majorHAnsi" w:hAnsiTheme="majorHAnsi" w:cstheme="majorHAnsi"/>
          <w:color w:val="000000" w:themeColor="text1"/>
          <w:sz w:val="16"/>
          <w:szCs w:val="16"/>
        </w:rPr>
      </w:pPr>
      <w:r w:rsidRPr="001009B8">
        <w:rPr>
          <w:rFonts w:asciiTheme="majorHAnsi" w:hAnsiTheme="majorHAnsi" w:cstheme="majorHAnsi"/>
          <w:color w:val="000000" w:themeColor="text1"/>
          <w:sz w:val="16"/>
          <w:szCs w:val="16"/>
        </w:rPr>
        <w:t xml:space="preserve">  </w:t>
      </w:r>
      <w:r w:rsidRPr="001009B8">
        <w:rPr>
          <w:rFonts w:asciiTheme="majorHAnsi" w:hAnsiTheme="majorHAnsi" w:cstheme="majorHAnsi"/>
          <w:b/>
          <w:bCs/>
          <w:color w:val="000000" w:themeColor="text1"/>
          <w:sz w:val="16"/>
          <w:szCs w:val="16"/>
        </w:rPr>
        <w:t>Source:</w:t>
      </w:r>
      <w:r w:rsidRPr="001009B8">
        <w:rPr>
          <w:rFonts w:asciiTheme="majorHAnsi" w:hAnsiTheme="majorHAnsi" w:cstheme="majorHAnsi"/>
          <w:color w:val="000000" w:themeColor="text1"/>
          <w:sz w:val="16"/>
          <w:szCs w:val="16"/>
        </w:rPr>
        <w:t xml:space="preserve"> Aviva</w:t>
      </w:r>
    </w:p>
    <w:tbl>
      <w:tblPr>
        <w:tblW w:w="0" w:type="auto"/>
        <w:tblInd w:w="92" w:type="dxa"/>
        <w:tblBorders>
          <w:top w:val="single" w:sz="4" w:space="0" w:color="auto"/>
          <w:left w:val="single" w:sz="8" w:space="0" w:color="000000"/>
          <w:bottom w:val="single" w:sz="4" w:space="0" w:color="auto"/>
          <w:right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6"/>
        <w:gridCol w:w="1339"/>
        <w:gridCol w:w="1339"/>
        <w:gridCol w:w="1339"/>
        <w:gridCol w:w="1339"/>
        <w:gridCol w:w="1339"/>
        <w:gridCol w:w="1339"/>
      </w:tblGrid>
      <w:tr w:rsidR="001427F1" w:rsidRPr="001427F1" w14:paraId="31C215BA" w14:textId="77777777" w:rsidTr="0001320F">
        <w:trPr>
          <w:trHeight w:hRule="exact" w:val="281"/>
        </w:trPr>
        <w:tc>
          <w:tcPr>
            <w:tcW w:w="936" w:type="dxa"/>
          </w:tcPr>
          <w:p w14:paraId="09366E6C" w14:textId="5047ECAB" w:rsidR="00CF7ED5" w:rsidRPr="00C216FC" w:rsidRDefault="0001320F" w:rsidP="005D4764">
            <w:pPr>
              <w:pStyle w:val="TableParagraph"/>
              <w:spacing w:before="28"/>
              <w:ind w:left="4"/>
              <w:jc w:val="center"/>
              <w:rPr>
                <w:rFonts w:ascii="Arial" w:eastAsia="Source Sans Pro" w:hAnsi="Arial" w:cs="Arial"/>
                <w:color w:val="000000" w:themeColor="text1"/>
                <w:sz w:val="16"/>
                <w:szCs w:val="16"/>
              </w:rPr>
            </w:pPr>
            <w:r w:rsidRPr="00C216FC">
              <w:rPr>
                <w:rFonts w:ascii="Arial" w:hAnsi="Arial" w:cs="Arial"/>
                <w:b/>
                <w:color w:val="000000" w:themeColor="text1"/>
                <w:spacing w:val="-1"/>
                <w:w w:val="105"/>
                <w:sz w:val="16"/>
                <w:szCs w:val="16"/>
              </w:rPr>
              <w:lastRenderedPageBreak/>
              <w:t>20</w:t>
            </w:r>
          </w:p>
        </w:tc>
        <w:tc>
          <w:tcPr>
            <w:tcW w:w="1339" w:type="dxa"/>
          </w:tcPr>
          <w:p w14:paraId="0836DA83" w14:textId="2E3BFC8E" w:rsidR="00CF7ED5" w:rsidRPr="00C216FC" w:rsidRDefault="00CF7ED5" w:rsidP="005D4764">
            <w:pPr>
              <w:pStyle w:val="TableParagraph"/>
              <w:spacing w:before="28"/>
              <w:jc w:val="center"/>
              <w:rPr>
                <w:rFonts w:ascii="Arial" w:eastAsia="Source Sans Pro" w:hAnsi="Arial" w:cs="Arial"/>
                <w:color w:val="000000" w:themeColor="text1"/>
                <w:sz w:val="16"/>
                <w:szCs w:val="16"/>
              </w:rPr>
            </w:pPr>
            <w:r w:rsidRPr="00C216FC">
              <w:rPr>
                <w:color w:val="000000" w:themeColor="text1"/>
                <w:spacing w:val="-2"/>
                <w:sz w:val="16"/>
              </w:rPr>
              <w:t>£</w:t>
            </w:r>
            <w:r w:rsidR="00CD538E" w:rsidRPr="00C216FC">
              <w:rPr>
                <w:color w:val="000000" w:themeColor="text1"/>
                <w:spacing w:val="-2"/>
                <w:sz w:val="16"/>
              </w:rPr>
              <w:t>37</w:t>
            </w:r>
            <w:r w:rsidR="0001320F" w:rsidRPr="00C216FC">
              <w:rPr>
                <w:color w:val="000000" w:themeColor="text1"/>
                <w:spacing w:val="-2"/>
                <w:sz w:val="16"/>
              </w:rPr>
              <w:t>,500</w:t>
            </w:r>
          </w:p>
        </w:tc>
        <w:tc>
          <w:tcPr>
            <w:tcW w:w="1339" w:type="dxa"/>
          </w:tcPr>
          <w:p w14:paraId="3B698CB0" w14:textId="024B6DA1" w:rsidR="00CF7ED5" w:rsidRPr="00C216FC" w:rsidRDefault="00CF7ED5" w:rsidP="005D4764">
            <w:pPr>
              <w:pStyle w:val="TableParagraph"/>
              <w:spacing w:before="28"/>
              <w:jc w:val="center"/>
              <w:rPr>
                <w:rFonts w:ascii="Arial" w:eastAsia="Source Sans Pro" w:hAnsi="Arial" w:cs="Arial"/>
                <w:color w:val="000000" w:themeColor="text1"/>
                <w:sz w:val="16"/>
                <w:szCs w:val="16"/>
              </w:rPr>
            </w:pPr>
            <w:r w:rsidRPr="00C216FC">
              <w:rPr>
                <w:color w:val="000000" w:themeColor="text1"/>
                <w:spacing w:val="-2"/>
                <w:sz w:val="16"/>
              </w:rPr>
              <w:t>£</w:t>
            </w:r>
            <w:r w:rsidR="0001320F" w:rsidRPr="00C216FC">
              <w:rPr>
                <w:color w:val="000000" w:themeColor="text1"/>
                <w:spacing w:val="-2"/>
                <w:sz w:val="16"/>
              </w:rPr>
              <w:t>3</w:t>
            </w:r>
            <w:r w:rsidR="00CD538E" w:rsidRPr="00C216FC">
              <w:rPr>
                <w:color w:val="000000" w:themeColor="text1"/>
                <w:spacing w:val="-2"/>
                <w:sz w:val="16"/>
              </w:rPr>
              <w:t>3</w:t>
            </w:r>
            <w:r w:rsidRPr="00C216FC">
              <w:rPr>
                <w:color w:val="000000" w:themeColor="text1"/>
                <w:spacing w:val="-2"/>
                <w:sz w:val="16"/>
              </w:rPr>
              <w:t>,</w:t>
            </w:r>
            <w:r w:rsidR="00CD538E" w:rsidRPr="00C216FC">
              <w:rPr>
                <w:color w:val="000000" w:themeColor="text1"/>
                <w:spacing w:val="-2"/>
                <w:sz w:val="16"/>
              </w:rPr>
              <w:t>1</w:t>
            </w:r>
            <w:r w:rsidR="0001320F" w:rsidRPr="00C216FC">
              <w:rPr>
                <w:color w:val="000000" w:themeColor="text1"/>
                <w:spacing w:val="-2"/>
                <w:sz w:val="16"/>
              </w:rPr>
              <w:t>00</w:t>
            </w:r>
          </w:p>
        </w:tc>
        <w:tc>
          <w:tcPr>
            <w:tcW w:w="1339" w:type="dxa"/>
          </w:tcPr>
          <w:p w14:paraId="5B46FF26" w14:textId="31A030E1" w:rsidR="00CF7ED5" w:rsidRPr="00381AA3" w:rsidRDefault="00CF7ED5" w:rsidP="005D4764">
            <w:pPr>
              <w:pStyle w:val="TableParagraph"/>
              <w:spacing w:before="28"/>
              <w:jc w:val="center"/>
              <w:rPr>
                <w:rFonts w:ascii="Arial" w:eastAsia="Source Sans Pro" w:hAnsi="Arial" w:cs="Arial"/>
                <w:color w:val="000000" w:themeColor="text1"/>
                <w:sz w:val="16"/>
                <w:szCs w:val="16"/>
              </w:rPr>
            </w:pPr>
            <w:r w:rsidRPr="00381AA3">
              <w:rPr>
                <w:color w:val="000000" w:themeColor="text1"/>
                <w:spacing w:val="-2"/>
                <w:sz w:val="16"/>
              </w:rPr>
              <w:t>£</w:t>
            </w:r>
            <w:r w:rsidR="00381AA3" w:rsidRPr="00381AA3">
              <w:rPr>
                <w:color w:val="000000" w:themeColor="text1"/>
                <w:spacing w:val="-2"/>
                <w:sz w:val="16"/>
              </w:rPr>
              <w:t>40</w:t>
            </w:r>
            <w:r w:rsidR="00F50287" w:rsidRPr="00381AA3">
              <w:rPr>
                <w:color w:val="000000" w:themeColor="text1"/>
                <w:spacing w:val="-2"/>
                <w:sz w:val="16"/>
              </w:rPr>
              <w:t>,</w:t>
            </w:r>
            <w:r w:rsidR="00381AA3" w:rsidRPr="00381AA3">
              <w:rPr>
                <w:color w:val="000000" w:themeColor="text1"/>
                <w:spacing w:val="-2"/>
                <w:sz w:val="16"/>
              </w:rPr>
              <w:t>5</w:t>
            </w:r>
            <w:r w:rsidR="00F50287" w:rsidRPr="00381AA3">
              <w:rPr>
                <w:color w:val="000000" w:themeColor="text1"/>
                <w:spacing w:val="-2"/>
                <w:sz w:val="16"/>
              </w:rPr>
              <w:t>00</w:t>
            </w:r>
          </w:p>
        </w:tc>
        <w:tc>
          <w:tcPr>
            <w:tcW w:w="1339" w:type="dxa"/>
          </w:tcPr>
          <w:p w14:paraId="4DB72C05" w14:textId="326E9C12" w:rsidR="00CF7ED5" w:rsidRPr="00381AA3" w:rsidRDefault="00CF7ED5" w:rsidP="005D4764">
            <w:pPr>
              <w:pStyle w:val="TableParagraph"/>
              <w:spacing w:before="28"/>
              <w:jc w:val="center"/>
              <w:rPr>
                <w:rFonts w:ascii="Arial" w:eastAsia="Source Sans Pro" w:hAnsi="Arial" w:cs="Arial"/>
                <w:color w:val="000000" w:themeColor="text1"/>
                <w:sz w:val="16"/>
                <w:szCs w:val="16"/>
              </w:rPr>
            </w:pPr>
            <w:r w:rsidRPr="00381AA3">
              <w:rPr>
                <w:color w:val="000000" w:themeColor="text1"/>
                <w:spacing w:val="-2"/>
                <w:sz w:val="16"/>
              </w:rPr>
              <w:t>£</w:t>
            </w:r>
            <w:r w:rsidR="00381AA3" w:rsidRPr="00381AA3">
              <w:rPr>
                <w:color w:val="000000" w:themeColor="text1"/>
                <w:spacing w:val="-2"/>
                <w:sz w:val="16"/>
              </w:rPr>
              <w:t>35</w:t>
            </w:r>
            <w:r w:rsidRPr="00381AA3">
              <w:rPr>
                <w:color w:val="000000" w:themeColor="text1"/>
                <w:spacing w:val="-2"/>
                <w:sz w:val="16"/>
              </w:rPr>
              <w:t>,</w:t>
            </w:r>
            <w:r w:rsidR="00381AA3" w:rsidRPr="00381AA3">
              <w:rPr>
                <w:color w:val="000000" w:themeColor="text1"/>
                <w:spacing w:val="-2"/>
                <w:sz w:val="16"/>
              </w:rPr>
              <w:t>2</w:t>
            </w:r>
            <w:r w:rsidRPr="00381AA3">
              <w:rPr>
                <w:color w:val="000000" w:themeColor="text1"/>
                <w:spacing w:val="-2"/>
                <w:sz w:val="16"/>
              </w:rPr>
              <w:t>00</w:t>
            </w:r>
          </w:p>
        </w:tc>
        <w:tc>
          <w:tcPr>
            <w:tcW w:w="1339" w:type="dxa"/>
          </w:tcPr>
          <w:p w14:paraId="0720A625" w14:textId="72F08A9A" w:rsidR="00CF7ED5" w:rsidRPr="00997F53" w:rsidRDefault="00CF7ED5" w:rsidP="005D4764">
            <w:pPr>
              <w:pStyle w:val="TableParagraph"/>
              <w:spacing w:before="28"/>
              <w:jc w:val="center"/>
              <w:rPr>
                <w:rFonts w:ascii="Arial" w:eastAsia="Source Sans Pro" w:hAnsi="Arial" w:cs="Arial"/>
                <w:color w:val="000000" w:themeColor="text1"/>
                <w:sz w:val="16"/>
                <w:szCs w:val="16"/>
              </w:rPr>
            </w:pPr>
            <w:r w:rsidRPr="00997F53">
              <w:rPr>
                <w:color w:val="000000" w:themeColor="text1"/>
                <w:spacing w:val="-2"/>
                <w:sz w:val="16"/>
              </w:rPr>
              <w:t>£</w:t>
            </w:r>
            <w:r w:rsidR="001009B8" w:rsidRPr="00997F53">
              <w:rPr>
                <w:color w:val="000000" w:themeColor="text1"/>
                <w:spacing w:val="-2"/>
                <w:sz w:val="16"/>
              </w:rPr>
              <w:t>3</w:t>
            </w:r>
            <w:r w:rsidR="00997F53" w:rsidRPr="00997F53">
              <w:rPr>
                <w:color w:val="000000" w:themeColor="text1"/>
                <w:spacing w:val="-2"/>
                <w:sz w:val="16"/>
              </w:rPr>
              <w:t>5</w:t>
            </w:r>
            <w:r w:rsidRPr="00997F53">
              <w:rPr>
                <w:color w:val="000000" w:themeColor="text1"/>
                <w:spacing w:val="-2"/>
                <w:sz w:val="16"/>
              </w:rPr>
              <w:t>,</w:t>
            </w:r>
            <w:r w:rsidR="00997F53" w:rsidRPr="00997F53">
              <w:rPr>
                <w:color w:val="000000" w:themeColor="text1"/>
                <w:spacing w:val="-2"/>
                <w:sz w:val="16"/>
              </w:rPr>
              <w:t>4</w:t>
            </w:r>
            <w:r w:rsidRPr="00997F53">
              <w:rPr>
                <w:color w:val="000000" w:themeColor="text1"/>
                <w:spacing w:val="-2"/>
                <w:sz w:val="16"/>
              </w:rPr>
              <w:t>00</w:t>
            </w:r>
          </w:p>
        </w:tc>
        <w:tc>
          <w:tcPr>
            <w:tcW w:w="1339" w:type="dxa"/>
          </w:tcPr>
          <w:p w14:paraId="0A928341" w14:textId="1BB92F01" w:rsidR="00CF7ED5" w:rsidRPr="00997F53" w:rsidRDefault="00CF7ED5" w:rsidP="005D4764">
            <w:pPr>
              <w:pStyle w:val="TableParagraph"/>
              <w:spacing w:before="28"/>
              <w:jc w:val="center"/>
              <w:rPr>
                <w:rFonts w:ascii="Arial" w:eastAsia="Source Sans Pro" w:hAnsi="Arial" w:cs="Arial"/>
                <w:color w:val="000000" w:themeColor="text1"/>
                <w:sz w:val="16"/>
                <w:szCs w:val="16"/>
              </w:rPr>
            </w:pPr>
            <w:r w:rsidRPr="00997F53">
              <w:rPr>
                <w:color w:val="000000" w:themeColor="text1"/>
                <w:spacing w:val="-2"/>
                <w:sz w:val="16"/>
              </w:rPr>
              <w:t>£</w:t>
            </w:r>
            <w:r w:rsidR="001009B8" w:rsidRPr="00997F53">
              <w:rPr>
                <w:color w:val="000000" w:themeColor="text1"/>
                <w:spacing w:val="-2"/>
                <w:sz w:val="16"/>
              </w:rPr>
              <w:t>31</w:t>
            </w:r>
            <w:r w:rsidRPr="00997F53">
              <w:rPr>
                <w:color w:val="000000" w:themeColor="text1"/>
                <w:spacing w:val="-2"/>
                <w:sz w:val="16"/>
              </w:rPr>
              <w:t>,</w:t>
            </w:r>
            <w:r w:rsidR="00997F53" w:rsidRPr="00997F53">
              <w:rPr>
                <w:color w:val="000000" w:themeColor="text1"/>
                <w:spacing w:val="-2"/>
                <w:sz w:val="16"/>
              </w:rPr>
              <w:t>2</w:t>
            </w:r>
            <w:r w:rsidRPr="00997F53">
              <w:rPr>
                <w:color w:val="000000" w:themeColor="text1"/>
                <w:spacing w:val="-2"/>
                <w:sz w:val="16"/>
              </w:rPr>
              <w:t>00</w:t>
            </w:r>
          </w:p>
        </w:tc>
      </w:tr>
      <w:tr w:rsidR="001427F1" w:rsidRPr="001427F1" w14:paraId="29EE8568" w14:textId="77777777" w:rsidTr="0001320F">
        <w:trPr>
          <w:trHeight w:hRule="exact" w:val="281"/>
        </w:trPr>
        <w:tc>
          <w:tcPr>
            <w:tcW w:w="936" w:type="dxa"/>
          </w:tcPr>
          <w:p w14:paraId="7DC8547D" w14:textId="2DB7ACB9" w:rsidR="00CF7ED5" w:rsidRPr="00C216FC" w:rsidRDefault="0001320F" w:rsidP="005D4764">
            <w:pPr>
              <w:pStyle w:val="TableParagraph"/>
              <w:spacing w:before="28"/>
              <w:ind w:left="4"/>
              <w:jc w:val="center"/>
              <w:rPr>
                <w:rFonts w:ascii="Arial" w:eastAsia="Source Sans Pro" w:hAnsi="Arial" w:cs="Arial"/>
                <w:color w:val="000000" w:themeColor="text1"/>
                <w:sz w:val="16"/>
                <w:szCs w:val="16"/>
              </w:rPr>
            </w:pPr>
            <w:r w:rsidRPr="00C216FC">
              <w:rPr>
                <w:rFonts w:ascii="Arial" w:hAnsi="Arial" w:cs="Arial"/>
                <w:b/>
                <w:color w:val="000000" w:themeColor="text1"/>
                <w:spacing w:val="-1"/>
                <w:w w:val="105"/>
                <w:sz w:val="16"/>
                <w:szCs w:val="16"/>
              </w:rPr>
              <w:t>25</w:t>
            </w:r>
          </w:p>
        </w:tc>
        <w:tc>
          <w:tcPr>
            <w:tcW w:w="1339" w:type="dxa"/>
          </w:tcPr>
          <w:p w14:paraId="095E2A09" w14:textId="5468405F" w:rsidR="00CF7ED5" w:rsidRPr="00C216FC" w:rsidRDefault="00CF7ED5" w:rsidP="005D4764">
            <w:pPr>
              <w:pStyle w:val="TableParagraph"/>
              <w:spacing w:before="28"/>
              <w:jc w:val="center"/>
              <w:rPr>
                <w:rFonts w:ascii="Arial" w:eastAsia="Source Sans Pro" w:hAnsi="Arial" w:cs="Arial"/>
                <w:color w:val="000000" w:themeColor="text1"/>
                <w:sz w:val="16"/>
                <w:szCs w:val="16"/>
              </w:rPr>
            </w:pPr>
            <w:r w:rsidRPr="00C216FC">
              <w:rPr>
                <w:color w:val="000000" w:themeColor="text1"/>
                <w:spacing w:val="-2"/>
                <w:sz w:val="16"/>
              </w:rPr>
              <w:t>£</w:t>
            </w:r>
            <w:r w:rsidR="00CD538E" w:rsidRPr="00C216FC">
              <w:rPr>
                <w:color w:val="000000" w:themeColor="text1"/>
                <w:spacing w:val="-2"/>
                <w:sz w:val="16"/>
              </w:rPr>
              <w:t>4</w:t>
            </w:r>
            <w:r w:rsidRPr="00C216FC">
              <w:rPr>
                <w:color w:val="000000" w:themeColor="text1"/>
                <w:spacing w:val="-2"/>
                <w:sz w:val="16"/>
              </w:rPr>
              <w:t>1,</w:t>
            </w:r>
            <w:r w:rsidR="00C216FC" w:rsidRPr="00C216FC">
              <w:rPr>
                <w:color w:val="000000" w:themeColor="text1"/>
                <w:spacing w:val="-2"/>
                <w:sz w:val="16"/>
              </w:rPr>
              <w:t>5</w:t>
            </w:r>
            <w:r w:rsidRPr="00C216FC">
              <w:rPr>
                <w:color w:val="000000" w:themeColor="text1"/>
                <w:spacing w:val="-2"/>
                <w:sz w:val="16"/>
              </w:rPr>
              <w:t>00</w:t>
            </w:r>
          </w:p>
        </w:tc>
        <w:tc>
          <w:tcPr>
            <w:tcW w:w="1339" w:type="dxa"/>
          </w:tcPr>
          <w:p w14:paraId="7C7F6106" w14:textId="69C524CD" w:rsidR="00CF7ED5" w:rsidRPr="00C216FC" w:rsidRDefault="00CF7ED5" w:rsidP="005D4764">
            <w:pPr>
              <w:pStyle w:val="TableParagraph"/>
              <w:spacing w:before="28"/>
              <w:jc w:val="center"/>
              <w:rPr>
                <w:rFonts w:ascii="Arial" w:eastAsia="Source Sans Pro" w:hAnsi="Arial" w:cs="Arial"/>
                <w:color w:val="000000" w:themeColor="text1"/>
                <w:sz w:val="16"/>
                <w:szCs w:val="16"/>
              </w:rPr>
            </w:pPr>
            <w:r w:rsidRPr="00C216FC">
              <w:rPr>
                <w:color w:val="000000" w:themeColor="text1"/>
                <w:spacing w:val="-2"/>
                <w:sz w:val="16"/>
              </w:rPr>
              <w:t>£</w:t>
            </w:r>
            <w:r w:rsidR="00CD538E" w:rsidRPr="00C216FC">
              <w:rPr>
                <w:color w:val="000000" w:themeColor="text1"/>
                <w:spacing w:val="-2"/>
                <w:sz w:val="16"/>
              </w:rPr>
              <w:t>35,5</w:t>
            </w:r>
            <w:r w:rsidR="0001320F" w:rsidRPr="00C216FC">
              <w:rPr>
                <w:color w:val="000000" w:themeColor="text1"/>
                <w:spacing w:val="-2"/>
                <w:sz w:val="16"/>
              </w:rPr>
              <w:t>00</w:t>
            </w:r>
          </w:p>
        </w:tc>
        <w:tc>
          <w:tcPr>
            <w:tcW w:w="1339" w:type="dxa"/>
          </w:tcPr>
          <w:p w14:paraId="3DBA2781" w14:textId="3664B734" w:rsidR="00CF7ED5" w:rsidRPr="00381AA3" w:rsidRDefault="00CF7ED5" w:rsidP="005D4764">
            <w:pPr>
              <w:pStyle w:val="TableParagraph"/>
              <w:spacing w:before="28"/>
              <w:jc w:val="center"/>
              <w:rPr>
                <w:rFonts w:ascii="Arial" w:eastAsia="Source Sans Pro" w:hAnsi="Arial" w:cs="Arial"/>
                <w:color w:val="000000" w:themeColor="text1"/>
                <w:sz w:val="16"/>
                <w:szCs w:val="16"/>
              </w:rPr>
            </w:pPr>
            <w:r w:rsidRPr="00381AA3">
              <w:rPr>
                <w:color w:val="000000" w:themeColor="text1"/>
                <w:spacing w:val="-2"/>
                <w:sz w:val="16"/>
              </w:rPr>
              <w:t>£</w:t>
            </w:r>
            <w:r w:rsidR="00381AA3" w:rsidRPr="00381AA3">
              <w:rPr>
                <w:color w:val="000000" w:themeColor="text1"/>
                <w:spacing w:val="-2"/>
                <w:sz w:val="16"/>
              </w:rPr>
              <w:t>45</w:t>
            </w:r>
            <w:r w:rsidR="00F50287" w:rsidRPr="00381AA3">
              <w:rPr>
                <w:color w:val="000000" w:themeColor="text1"/>
                <w:spacing w:val="-2"/>
                <w:sz w:val="16"/>
              </w:rPr>
              <w:t>,</w:t>
            </w:r>
            <w:r w:rsidR="00381AA3" w:rsidRPr="00381AA3">
              <w:rPr>
                <w:color w:val="000000" w:themeColor="text1"/>
                <w:spacing w:val="-2"/>
                <w:sz w:val="16"/>
              </w:rPr>
              <w:t>7</w:t>
            </w:r>
            <w:r w:rsidR="00F50287" w:rsidRPr="00381AA3">
              <w:rPr>
                <w:color w:val="000000" w:themeColor="text1"/>
                <w:spacing w:val="-2"/>
                <w:sz w:val="16"/>
              </w:rPr>
              <w:t>00</w:t>
            </w:r>
          </w:p>
        </w:tc>
        <w:tc>
          <w:tcPr>
            <w:tcW w:w="1339" w:type="dxa"/>
          </w:tcPr>
          <w:p w14:paraId="298A5150" w14:textId="57567802" w:rsidR="00CF7ED5" w:rsidRPr="00381AA3" w:rsidRDefault="00CF7ED5" w:rsidP="005D4764">
            <w:pPr>
              <w:pStyle w:val="TableParagraph"/>
              <w:spacing w:before="28"/>
              <w:jc w:val="center"/>
              <w:rPr>
                <w:rFonts w:ascii="Arial" w:eastAsia="Source Sans Pro" w:hAnsi="Arial" w:cs="Arial"/>
                <w:color w:val="000000" w:themeColor="text1"/>
                <w:sz w:val="16"/>
                <w:szCs w:val="16"/>
              </w:rPr>
            </w:pPr>
            <w:r w:rsidRPr="00381AA3">
              <w:rPr>
                <w:color w:val="000000" w:themeColor="text1"/>
                <w:spacing w:val="-2"/>
                <w:sz w:val="16"/>
              </w:rPr>
              <w:t>£</w:t>
            </w:r>
            <w:r w:rsidR="00381AA3" w:rsidRPr="00381AA3">
              <w:rPr>
                <w:color w:val="000000" w:themeColor="text1"/>
                <w:spacing w:val="-2"/>
                <w:sz w:val="16"/>
              </w:rPr>
              <w:t>38</w:t>
            </w:r>
            <w:r w:rsidRPr="00381AA3">
              <w:rPr>
                <w:color w:val="000000" w:themeColor="text1"/>
                <w:spacing w:val="-2"/>
                <w:sz w:val="16"/>
              </w:rPr>
              <w:t>,</w:t>
            </w:r>
            <w:r w:rsidR="00381AA3" w:rsidRPr="00381AA3">
              <w:rPr>
                <w:color w:val="000000" w:themeColor="text1"/>
                <w:spacing w:val="-2"/>
                <w:sz w:val="16"/>
              </w:rPr>
              <w:t>4</w:t>
            </w:r>
            <w:r w:rsidRPr="00381AA3">
              <w:rPr>
                <w:color w:val="000000" w:themeColor="text1"/>
                <w:spacing w:val="-2"/>
                <w:sz w:val="16"/>
              </w:rPr>
              <w:t>00</w:t>
            </w:r>
          </w:p>
        </w:tc>
        <w:tc>
          <w:tcPr>
            <w:tcW w:w="1339" w:type="dxa"/>
          </w:tcPr>
          <w:p w14:paraId="3A5E2E8C" w14:textId="661DCF25" w:rsidR="00CF7ED5" w:rsidRPr="00997F53" w:rsidRDefault="00CF7ED5" w:rsidP="005D4764">
            <w:pPr>
              <w:pStyle w:val="TableParagraph"/>
              <w:spacing w:before="28"/>
              <w:jc w:val="center"/>
              <w:rPr>
                <w:rFonts w:ascii="Arial" w:eastAsia="Source Sans Pro" w:hAnsi="Arial" w:cs="Arial"/>
                <w:color w:val="000000" w:themeColor="text1"/>
                <w:sz w:val="16"/>
                <w:szCs w:val="16"/>
              </w:rPr>
            </w:pPr>
            <w:r w:rsidRPr="00997F53">
              <w:rPr>
                <w:color w:val="000000" w:themeColor="text1"/>
                <w:spacing w:val="-2"/>
                <w:sz w:val="16"/>
              </w:rPr>
              <w:t>£</w:t>
            </w:r>
            <w:r w:rsidR="001009B8" w:rsidRPr="00997F53">
              <w:rPr>
                <w:color w:val="000000" w:themeColor="text1"/>
                <w:spacing w:val="-2"/>
                <w:sz w:val="16"/>
              </w:rPr>
              <w:t>3</w:t>
            </w:r>
            <w:r w:rsidR="00381AA3" w:rsidRPr="00997F53">
              <w:rPr>
                <w:color w:val="000000" w:themeColor="text1"/>
                <w:spacing w:val="-2"/>
                <w:sz w:val="16"/>
              </w:rPr>
              <w:t>8</w:t>
            </w:r>
            <w:r w:rsidRPr="00997F53">
              <w:rPr>
                <w:color w:val="000000" w:themeColor="text1"/>
                <w:spacing w:val="-2"/>
                <w:sz w:val="16"/>
              </w:rPr>
              <w:t>,</w:t>
            </w:r>
            <w:r w:rsidR="00997F53" w:rsidRPr="00997F53">
              <w:rPr>
                <w:color w:val="000000" w:themeColor="text1"/>
                <w:spacing w:val="-2"/>
                <w:sz w:val="16"/>
              </w:rPr>
              <w:t>6</w:t>
            </w:r>
            <w:r w:rsidRPr="00997F53">
              <w:rPr>
                <w:color w:val="000000" w:themeColor="text1"/>
                <w:spacing w:val="-2"/>
                <w:sz w:val="16"/>
              </w:rPr>
              <w:t>00</w:t>
            </w:r>
          </w:p>
        </w:tc>
        <w:tc>
          <w:tcPr>
            <w:tcW w:w="1339" w:type="dxa"/>
          </w:tcPr>
          <w:p w14:paraId="4A2C8B73" w14:textId="4D15A748" w:rsidR="00CF7ED5" w:rsidRPr="00997F53" w:rsidRDefault="00CF7ED5" w:rsidP="005D4764">
            <w:pPr>
              <w:pStyle w:val="TableParagraph"/>
              <w:spacing w:before="28"/>
              <w:jc w:val="center"/>
              <w:rPr>
                <w:rFonts w:ascii="Arial" w:eastAsia="Source Sans Pro" w:hAnsi="Arial" w:cs="Arial"/>
                <w:color w:val="000000" w:themeColor="text1"/>
                <w:sz w:val="16"/>
                <w:szCs w:val="16"/>
              </w:rPr>
            </w:pPr>
            <w:r w:rsidRPr="00997F53">
              <w:rPr>
                <w:color w:val="000000" w:themeColor="text1"/>
                <w:spacing w:val="-2"/>
                <w:sz w:val="16"/>
              </w:rPr>
              <w:t>£</w:t>
            </w:r>
            <w:r w:rsidR="001009B8" w:rsidRPr="00997F53">
              <w:rPr>
                <w:color w:val="000000" w:themeColor="text1"/>
                <w:spacing w:val="-2"/>
                <w:sz w:val="16"/>
              </w:rPr>
              <w:t>33</w:t>
            </w:r>
            <w:r w:rsidRPr="00997F53">
              <w:rPr>
                <w:color w:val="000000" w:themeColor="text1"/>
                <w:spacing w:val="-2"/>
                <w:sz w:val="16"/>
              </w:rPr>
              <w:t>,</w:t>
            </w:r>
            <w:r w:rsidR="00997F53" w:rsidRPr="00997F53">
              <w:rPr>
                <w:color w:val="000000" w:themeColor="text1"/>
                <w:spacing w:val="-2"/>
                <w:sz w:val="16"/>
              </w:rPr>
              <w:t>0</w:t>
            </w:r>
            <w:r w:rsidRPr="00997F53">
              <w:rPr>
                <w:color w:val="000000" w:themeColor="text1"/>
                <w:spacing w:val="-2"/>
                <w:sz w:val="16"/>
              </w:rPr>
              <w:t>00</w:t>
            </w:r>
          </w:p>
        </w:tc>
      </w:tr>
      <w:tr w:rsidR="001427F1" w:rsidRPr="001427F1" w14:paraId="7707FAA4" w14:textId="77777777" w:rsidTr="0001320F">
        <w:trPr>
          <w:trHeight w:hRule="exact" w:val="281"/>
        </w:trPr>
        <w:tc>
          <w:tcPr>
            <w:tcW w:w="936" w:type="dxa"/>
          </w:tcPr>
          <w:p w14:paraId="4F249EEC" w14:textId="51A2131A" w:rsidR="00CF7ED5" w:rsidRPr="00C216FC" w:rsidRDefault="0001320F" w:rsidP="005D4764">
            <w:pPr>
              <w:pStyle w:val="TableParagraph"/>
              <w:spacing w:before="28"/>
              <w:ind w:left="4"/>
              <w:jc w:val="center"/>
              <w:rPr>
                <w:rFonts w:ascii="Arial" w:hAnsi="Arial" w:cs="Arial"/>
                <w:b/>
                <w:color w:val="000000" w:themeColor="text1"/>
                <w:spacing w:val="-1"/>
                <w:w w:val="105"/>
                <w:sz w:val="16"/>
                <w:szCs w:val="16"/>
              </w:rPr>
            </w:pPr>
            <w:r w:rsidRPr="00C216FC">
              <w:rPr>
                <w:rFonts w:ascii="Arial" w:hAnsi="Arial" w:cs="Arial"/>
                <w:b/>
                <w:color w:val="000000" w:themeColor="text1"/>
                <w:spacing w:val="-1"/>
                <w:w w:val="105"/>
                <w:sz w:val="16"/>
                <w:szCs w:val="16"/>
              </w:rPr>
              <w:t>30</w:t>
            </w:r>
          </w:p>
        </w:tc>
        <w:tc>
          <w:tcPr>
            <w:tcW w:w="1339" w:type="dxa"/>
          </w:tcPr>
          <w:p w14:paraId="4AF1AC8F" w14:textId="2AAED806" w:rsidR="00CF7ED5" w:rsidRPr="00C216FC" w:rsidRDefault="0001320F" w:rsidP="005D4764">
            <w:pPr>
              <w:pStyle w:val="TableParagraph"/>
              <w:spacing w:before="28"/>
              <w:jc w:val="center"/>
              <w:rPr>
                <w:color w:val="000000" w:themeColor="text1"/>
                <w:spacing w:val="-2"/>
                <w:sz w:val="16"/>
              </w:rPr>
            </w:pPr>
            <w:r w:rsidRPr="00C216FC">
              <w:rPr>
                <w:color w:val="000000" w:themeColor="text1"/>
                <w:spacing w:val="-2"/>
                <w:sz w:val="16"/>
              </w:rPr>
              <w:t>£</w:t>
            </w:r>
            <w:r w:rsidR="00CD538E" w:rsidRPr="00C216FC">
              <w:rPr>
                <w:color w:val="000000" w:themeColor="text1"/>
                <w:spacing w:val="-2"/>
                <w:sz w:val="16"/>
              </w:rPr>
              <w:t>45</w:t>
            </w:r>
            <w:r w:rsidRPr="00C216FC">
              <w:rPr>
                <w:color w:val="000000" w:themeColor="text1"/>
                <w:spacing w:val="-2"/>
                <w:sz w:val="16"/>
              </w:rPr>
              <w:t>,</w:t>
            </w:r>
            <w:r w:rsidR="00CD538E" w:rsidRPr="00C216FC">
              <w:rPr>
                <w:color w:val="000000" w:themeColor="text1"/>
                <w:spacing w:val="-2"/>
                <w:sz w:val="16"/>
              </w:rPr>
              <w:t>9</w:t>
            </w:r>
            <w:r w:rsidRPr="00C216FC">
              <w:rPr>
                <w:color w:val="000000" w:themeColor="text1"/>
                <w:spacing w:val="-2"/>
                <w:sz w:val="16"/>
              </w:rPr>
              <w:t>00</w:t>
            </w:r>
          </w:p>
        </w:tc>
        <w:tc>
          <w:tcPr>
            <w:tcW w:w="1339" w:type="dxa"/>
          </w:tcPr>
          <w:p w14:paraId="3475C836" w14:textId="09644FEC" w:rsidR="00CF7ED5" w:rsidRPr="00C216FC" w:rsidRDefault="0001320F" w:rsidP="005D4764">
            <w:pPr>
              <w:pStyle w:val="TableParagraph"/>
              <w:spacing w:before="28"/>
              <w:jc w:val="center"/>
              <w:rPr>
                <w:color w:val="000000" w:themeColor="text1"/>
                <w:spacing w:val="-2"/>
                <w:sz w:val="16"/>
              </w:rPr>
            </w:pPr>
            <w:r w:rsidRPr="00C216FC">
              <w:rPr>
                <w:color w:val="000000" w:themeColor="text1"/>
                <w:spacing w:val="-2"/>
                <w:sz w:val="16"/>
              </w:rPr>
              <w:t>£</w:t>
            </w:r>
            <w:r w:rsidR="00CD538E" w:rsidRPr="00C216FC">
              <w:rPr>
                <w:color w:val="000000" w:themeColor="text1"/>
                <w:spacing w:val="-2"/>
                <w:sz w:val="16"/>
              </w:rPr>
              <w:t>38</w:t>
            </w:r>
            <w:r w:rsidRPr="00C216FC">
              <w:rPr>
                <w:color w:val="000000" w:themeColor="text1"/>
                <w:spacing w:val="-2"/>
                <w:sz w:val="16"/>
              </w:rPr>
              <w:t>,000</w:t>
            </w:r>
          </w:p>
        </w:tc>
        <w:tc>
          <w:tcPr>
            <w:tcW w:w="1339" w:type="dxa"/>
          </w:tcPr>
          <w:p w14:paraId="258E866D" w14:textId="7628C5FD" w:rsidR="00CF7ED5" w:rsidRPr="00381AA3" w:rsidRDefault="00F50287" w:rsidP="005D4764">
            <w:pPr>
              <w:pStyle w:val="TableParagraph"/>
              <w:spacing w:before="28"/>
              <w:jc w:val="center"/>
              <w:rPr>
                <w:color w:val="000000" w:themeColor="text1"/>
                <w:spacing w:val="-2"/>
                <w:sz w:val="16"/>
              </w:rPr>
            </w:pPr>
            <w:r w:rsidRPr="00381AA3">
              <w:rPr>
                <w:color w:val="000000" w:themeColor="text1"/>
                <w:spacing w:val="-2"/>
                <w:sz w:val="16"/>
              </w:rPr>
              <w:t>£</w:t>
            </w:r>
            <w:r w:rsidR="00381AA3" w:rsidRPr="00381AA3">
              <w:rPr>
                <w:color w:val="000000" w:themeColor="text1"/>
                <w:spacing w:val="-2"/>
                <w:sz w:val="16"/>
              </w:rPr>
              <w:t>51</w:t>
            </w:r>
            <w:r w:rsidRPr="00381AA3">
              <w:rPr>
                <w:color w:val="000000" w:themeColor="text1"/>
                <w:spacing w:val="-2"/>
                <w:sz w:val="16"/>
              </w:rPr>
              <w:t>,</w:t>
            </w:r>
            <w:r w:rsidR="00381AA3" w:rsidRPr="00381AA3">
              <w:rPr>
                <w:color w:val="000000" w:themeColor="text1"/>
                <w:spacing w:val="-2"/>
                <w:sz w:val="16"/>
              </w:rPr>
              <w:t>5</w:t>
            </w:r>
            <w:r w:rsidRPr="00381AA3">
              <w:rPr>
                <w:color w:val="000000" w:themeColor="text1"/>
                <w:spacing w:val="-2"/>
                <w:sz w:val="16"/>
              </w:rPr>
              <w:t>00</w:t>
            </w:r>
          </w:p>
        </w:tc>
        <w:tc>
          <w:tcPr>
            <w:tcW w:w="1339" w:type="dxa"/>
          </w:tcPr>
          <w:p w14:paraId="67C7D006" w14:textId="7B765E23" w:rsidR="00CF7ED5" w:rsidRPr="00381AA3" w:rsidRDefault="00F50287" w:rsidP="005D4764">
            <w:pPr>
              <w:pStyle w:val="TableParagraph"/>
              <w:spacing w:before="28"/>
              <w:jc w:val="center"/>
              <w:rPr>
                <w:color w:val="000000" w:themeColor="text1"/>
                <w:spacing w:val="-2"/>
                <w:sz w:val="16"/>
              </w:rPr>
            </w:pPr>
            <w:r w:rsidRPr="00381AA3">
              <w:rPr>
                <w:color w:val="000000" w:themeColor="text1"/>
                <w:spacing w:val="-2"/>
                <w:sz w:val="16"/>
              </w:rPr>
              <w:t>£</w:t>
            </w:r>
            <w:r w:rsidR="00381AA3" w:rsidRPr="00381AA3">
              <w:rPr>
                <w:color w:val="000000" w:themeColor="text1"/>
                <w:spacing w:val="-2"/>
                <w:sz w:val="16"/>
              </w:rPr>
              <w:t>41</w:t>
            </w:r>
            <w:r w:rsidRPr="00381AA3">
              <w:rPr>
                <w:color w:val="000000" w:themeColor="text1"/>
                <w:spacing w:val="-2"/>
                <w:sz w:val="16"/>
              </w:rPr>
              <w:t>,</w:t>
            </w:r>
            <w:r w:rsidR="00381AA3" w:rsidRPr="00381AA3">
              <w:rPr>
                <w:color w:val="000000" w:themeColor="text1"/>
                <w:spacing w:val="-2"/>
                <w:sz w:val="16"/>
              </w:rPr>
              <w:t>8</w:t>
            </w:r>
            <w:r w:rsidRPr="00381AA3">
              <w:rPr>
                <w:color w:val="000000" w:themeColor="text1"/>
                <w:spacing w:val="-2"/>
                <w:sz w:val="16"/>
              </w:rPr>
              <w:t>00</w:t>
            </w:r>
          </w:p>
        </w:tc>
        <w:tc>
          <w:tcPr>
            <w:tcW w:w="1339" w:type="dxa"/>
          </w:tcPr>
          <w:p w14:paraId="77845A81" w14:textId="398D2996" w:rsidR="00CF7ED5" w:rsidRPr="00997F53" w:rsidRDefault="001009B8" w:rsidP="005D4764">
            <w:pPr>
              <w:pStyle w:val="TableParagraph"/>
              <w:spacing w:before="28"/>
              <w:jc w:val="center"/>
              <w:rPr>
                <w:color w:val="000000" w:themeColor="text1"/>
                <w:spacing w:val="-2"/>
                <w:sz w:val="16"/>
              </w:rPr>
            </w:pPr>
            <w:r w:rsidRPr="00997F53">
              <w:rPr>
                <w:color w:val="000000" w:themeColor="text1"/>
                <w:spacing w:val="-2"/>
                <w:sz w:val="16"/>
              </w:rPr>
              <w:t>£4</w:t>
            </w:r>
            <w:r w:rsidR="00997F53" w:rsidRPr="00997F53">
              <w:rPr>
                <w:color w:val="000000" w:themeColor="text1"/>
                <w:spacing w:val="-2"/>
                <w:sz w:val="16"/>
              </w:rPr>
              <w:t>2</w:t>
            </w:r>
            <w:r w:rsidRPr="00997F53">
              <w:rPr>
                <w:color w:val="000000" w:themeColor="text1"/>
                <w:spacing w:val="-2"/>
                <w:sz w:val="16"/>
              </w:rPr>
              <w:t>,</w:t>
            </w:r>
            <w:r w:rsidR="00997F53" w:rsidRPr="00997F53">
              <w:rPr>
                <w:color w:val="000000" w:themeColor="text1"/>
                <w:spacing w:val="-2"/>
                <w:sz w:val="16"/>
              </w:rPr>
              <w:t>1</w:t>
            </w:r>
            <w:r w:rsidRPr="00997F53">
              <w:rPr>
                <w:color w:val="000000" w:themeColor="text1"/>
                <w:spacing w:val="-2"/>
                <w:sz w:val="16"/>
              </w:rPr>
              <w:t>00</w:t>
            </w:r>
          </w:p>
        </w:tc>
        <w:tc>
          <w:tcPr>
            <w:tcW w:w="1339" w:type="dxa"/>
          </w:tcPr>
          <w:p w14:paraId="2B910F62" w14:textId="5656C9D1" w:rsidR="00CF7ED5" w:rsidRPr="00997F53" w:rsidRDefault="001009B8" w:rsidP="005D4764">
            <w:pPr>
              <w:pStyle w:val="TableParagraph"/>
              <w:spacing w:before="28"/>
              <w:jc w:val="center"/>
              <w:rPr>
                <w:color w:val="000000" w:themeColor="text1"/>
                <w:spacing w:val="-2"/>
                <w:sz w:val="16"/>
              </w:rPr>
            </w:pPr>
            <w:r w:rsidRPr="00997F53">
              <w:rPr>
                <w:color w:val="000000" w:themeColor="text1"/>
                <w:spacing w:val="-2"/>
                <w:sz w:val="16"/>
              </w:rPr>
              <w:t>£3</w:t>
            </w:r>
            <w:r w:rsidR="00997F53" w:rsidRPr="00997F53">
              <w:rPr>
                <w:color w:val="000000" w:themeColor="text1"/>
                <w:spacing w:val="-2"/>
                <w:sz w:val="16"/>
              </w:rPr>
              <w:t>4</w:t>
            </w:r>
            <w:r w:rsidRPr="00997F53">
              <w:rPr>
                <w:color w:val="000000" w:themeColor="text1"/>
                <w:spacing w:val="-2"/>
                <w:sz w:val="16"/>
              </w:rPr>
              <w:t>,</w:t>
            </w:r>
            <w:r w:rsidR="00997F53" w:rsidRPr="00997F53">
              <w:rPr>
                <w:color w:val="000000" w:themeColor="text1"/>
                <w:spacing w:val="-2"/>
                <w:sz w:val="16"/>
              </w:rPr>
              <w:t>9</w:t>
            </w:r>
            <w:r w:rsidRPr="00997F53">
              <w:rPr>
                <w:color w:val="000000" w:themeColor="text1"/>
                <w:spacing w:val="-2"/>
                <w:sz w:val="16"/>
              </w:rPr>
              <w:t>00</w:t>
            </w:r>
          </w:p>
        </w:tc>
      </w:tr>
    </w:tbl>
    <w:p w14:paraId="07DD6A1E" w14:textId="6CFF649F" w:rsidR="00CF7ED5" w:rsidRPr="00CD538E" w:rsidRDefault="001009B8" w:rsidP="001009B8">
      <w:pPr>
        <w:spacing w:after="0" w:line="240" w:lineRule="auto"/>
        <w:ind w:left="0" w:firstLine="0"/>
        <w:rPr>
          <w:rFonts w:asciiTheme="majorHAnsi" w:hAnsiTheme="majorHAnsi" w:cstheme="majorHAnsi"/>
          <w:color w:val="000000" w:themeColor="text1"/>
          <w:sz w:val="16"/>
          <w:szCs w:val="16"/>
        </w:rPr>
      </w:pPr>
      <w:r w:rsidRPr="00CD538E">
        <w:rPr>
          <w:rFonts w:asciiTheme="majorHAnsi" w:hAnsiTheme="majorHAnsi" w:cstheme="majorHAnsi"/>
          <w:b/>
          <w:bCs/>
          <w:color w:val="000000" w:themeColor="text1"/>
          <w:sz w:val="16"/>
          <w:szCs w:val="16"/>
        </w:rPr>
        <w:t>Source:</w:t>
      </w:r>
      <w:r w:rsidRPr="00CD538E">
        <w:rPr>
          <w:rFonts w:asciiTheme="majorHAnsi" w:hAnsiTheme="majorHAnsi" w:cstheme="majorHAnsi"/>
          <w:color w:val="000000" w:themeColor="text1"/>
          <w:sz w:val="16"/>
          <w:szCs w:val="16"/>
        </w:rPr>
        <w:t xml:space="preserve"> Aviva</w:t>
      </w:r>
    </w:p>
    <w:p w14:paraId="293BA323" w14:textId="77777777" w:rsidR="001009B8" w:rsidRPr="001427F1" w:rsidRDefault="001009B8" w:rsidP="001009B8">
      <w:pPr>
        <w:spacing w:after="0" w:line="240" w:lineRule="auto"/>
        <w:ind w:left="0" w:firstLine="0"/>
        <w:rPr>
          <w:rFonts w:asciiTheme="majorHAnsi" w:hAnsiTheme="majorHAnsi" w:cstheme="majorHAnsi"/>
          <w:color w:val="FF0000"/>
          <w:sz w:val="16"/>
          <w:szCs w:val="16"/>
        </w:rPr>
      </w:pPr>
    </w:p>
    <w:tbl>
      <w:tblPr>
        <w:tblW w:w="0" w:type="auto"/>
        <w:tblInd w:w="92" w:type="dxa"/>
        <w:tblLayout w:type="fixed"/>
        <w:tblCellMar>
          <w:left w:w="0" w:type="dxa"/>
          <w:right w:w="0" w:type="dxa"/>
        </w:tblCellMar>
        <w:tblLook w:val="01E0" w:firstRow="1" w:lastRow="1" w:firstColumn="1" w:lastColumn="1" w:noHBand="0" w:noVBand="0"/>
      </w:tblPr>
      <w:tblGrid>
        <w:gridCol w:w="936"/>
        <w:gridCol w:w="1339"/>
        <w:gridCol w:w="1339"/>
        <w:gridCol w:w="1339"/>
        <w:gridCol w:w="1339"/>
        <w:gridCol w:w="1339"/>
        <w:gridCol w:w="1339"/>
      </w:tblGrid>
      <w:tr w:rsidR="001427F1" w:rsidRPr="001427F1" w14:paraId="330DE31C" w14:textId="77777777" w:rsidTr="005D4764">
        <w:trPr>
          <w:trHeight w:hRule="exact" w:val="576"/>
        </w:trPr>
        <w:tc>
          <w:tcPr>
            <w:tcW w:w="936" w:type="dxa"/>
            <w:tcBorders>
              <w:top w:val="single" w:sz="8" w:space="0" w:color="000000"/>
              <w:left w:val="single" w:sz="8" w:space="0" w:color="000000"/>
              <w:right w:val="single" w:sz="8" w:space="0" w:color="000000"/>
            </w:tcBorders>
            <w:shd w:val="clear" w:color="auto" w:fill="F2F2F2" w:themeFill="background1" w:themeFillShade="F2"/>
          </w:tcPr>
          <w:p w14:paraId="7A3DE8AE" w14:textId="77777777" w:rsidR="00CF7ED5" w:rsidRPr="001427F1" w:rsidRDefault="00CF7ED5" w:rsidP="005D4764">
            <w:pPr>
              <w:rPr>
                <w:rFonts w:ascii="Arial" w:hAnsi="Arial" w:cs="Arial"/>
                <w:color w:val="FF0000"/>
              </w:rPr>
            </w:pPr>
          </w:p>
        </w:tc>
        <w:tc>
          <w:tcPr>
            <w:tcW w:w="8034" w:type="dxa"/>
            <w:gridSpan w:val="6"/>
            <w:tcBorders>
              <w:top w:val="single" w:sz="8" w:space="0" w:color="000000"/>
              <w:left w:val="single" w:sz="8" w:space="0" w:color="000000"/>
              <w:bottom w:val="single" w:sz="8" w:space="0" w:color="000000"/>
              <w:right w:val="single" w:sz="8" w:space="0" w:color="000000"/>
            </w:tcBorders>
            <w:shd w:val="clear" w:color="auto" w:fill="F1F1F1"/>
            <w:vAlign w:val="center"/>
          </w:tcPr>
          <w:p w14:paraId="34144DB4" w14:textId="77777777" w:rsidR="00CF7ED5" w:rsidRPr="00C32EDC" w:rsidRDefault="00CF7ED5" w:rsidP="005D4764">
            <w:pPr>
              <w:pStyle w:val="TableParagraph"/>
              <w:spacing w:before="10"/>
              <w:jc w:val="center"/>
              <w:rPr>
                <w:rFonts w:ascii="Arial" w:hAnsi="Arial" w:cs="Arial"/>
                <w:b/>
                <w:color w:val="000000" w:themeColor="text1"/>
                <w:spacing w:val="11"/>
                <w:sz w:val="19"/>
              </w:rPr>
            </w:pPr>
            <w:r w:rsidRPr="00C32EDC">
              <w:rPr>
                <w:rFonts w:ascii="Arial" w:hAnsi="Arial" w:cs="Arial"/>
                <w:b/>
                <w:color w:val="000000" w:themeColor="text1"/>
                <w:spacing w:val="-1"/>
                <w:sz w:val="19"/>
              </w:rPr>
              <w:t>Illustration</w:t>
            </w:r>
            <w:r w:rsidRPr="00C32EDC">
              <w:rPr>
                <w:rFonts w:ascii="Arial" w:hAnsi="Arial" w:cs="Arial"/>
                <w:b/>
                <w:color w:val="000000" w:themeColor="text1"/>
                <w:spacing w:val="8"/>
                <w:sz w:val="19"/>
              </w:rPr>
              <w:t xml:space="preserve"> </w:t>
            </w:r>
            <w:r w:rsidRPr="00C32EDC">
              <w:rPr>
                <w:rFonts w:ascii="Arial" w:hAnsi="Arial" w:cs="Arial"/>
                <w:b/>
                <w:color w:val="000000" w:themeColor="text1"/>
                <w:sz w:val="19"/>
              </w:rPr>
              <w:t>of</w:t>
            </w:r>
            <w:r w:rsidRPr="00C32EDC">
              <w:rPr>
                <w:rFonts w:ascii="Arial" w:hAnsi="Arial" w:cs="Arial"/>
                <w:b/>
                <w:color w:val="000000" w:themeColor="text1"/>
                <w:spacing w:val="11"/>
                <w:sz w:val="19"/>
              </w:rPr>
              <w:t xml:space="preserve"> </w:t>
            </w:r>
            <w:r w:rsidRPr="00C32EDC">
              <w:rPr>
                <w:rFonts w:ascii="Arial" w:hAnsi="Arial" w:cs="Arial"/>
                <w:b/>
                <w:color w:val="000000" w:themeColor="text1"/>
                <w:sz w:val="19"/>
              </w:rPr>
              <w:t>effect</w:t>
            </w:r>
            <w:r w:rsidRPr="00C32EDC">
              <w:rPr>
                <w:rFonts w:ascii="Arial" w:hAnsi="Arial" w:cs="Arial"/>
                <w:b/>
                <w:color w:val="000000" w:themeColor="text1"/>
                <w:spacing w:val="10"/>
                <w:sz w:val="19"/>
              </w:rPr>
              <w:t xml:space="preserve"> </w:t>
            </w:r>
            <w:r w:rsidRPr="00C32EDC">
              <w:rPr>
                <w:rFonts w:ascii="Arial" w:hAnsi="Arial" w:cs="Arial"/>
                <w:b/>
                <w:color w:val="000000" w:themeColor="text1"/>
                <w:sz w:val="19"/>
              </w:rPr>
              <w:t>of</w:t>
            </w:r>
            <w:r w:rsidRPr="00C32EDC">
              <w:rPr>
                <w:rFonts w:ascii="Arial" w:hAnsi="Arial" w:cs="Arial"/>
                <w:b/>
                <w:color w:val="000000" w:themeColor="text1"/>
                <w:spacing w:val="11"/>
                <w:sz w:val="19"/>
              </w:rPr>
              <w:t xml:space="preserve"> </w:t>
            </w:r>
            <w:r w:rsidRPr="00C32EDC">
              <w:rPr>
                <w:rFonts w:ascii="Arial" w:hAnsi="Arial" w:cs="Arial"/>
                <w:b/>
                <w:color w:val="000000" w:themeColor="text1"/>
                <w:sz w:val="19"/>
              </w:rPr>
              <w:t>costs</w:t>
            </w:r>
            <w:r w:rsidRPr="00C32EDC">
              <w:rPr>
                <w:rFonts w:ascii="Arial" w:hAnsi="Arial" w:cs="Arial"/>
                <w:b/>
                <w:color w:val="000000" w:themeColor="text1"/>
                <w:spacing w:val="10"/>
                <w:sz w:val="19"/>
              </w:rPr>
              <w:t xml:space="preserve"> </w:t>
            </w:r>
            <w:r w:rsidRPr="00C32EDC">
              <w:rPr>
                <w:rFonts w:ascii="Arial" w:hAnsi="Arial" w:cs="Arial"/>
                <w:b/>
                <w:color w:val="000000" w:themeColor="text1"/>
                <w:spacing w:val="-1"/>
                <w:sz w:val="19"/>
              </w:rPr>
              <w:t>and</w:t>
            </w:r>
            <w:r w:rsidRPr="00C32EDC">
              <w:rPr>
                <w:rFonts w:ascii="Arial" w:hAnsi="Arial" w:cs="Arial"/>
                <w:b/>
                <w:color w:val="000000" w:themeColor="text1"/>
                <w:spacing w:val="9"/>
                <w:sz w:val="19"/>
              </w:rPr>
              <w:t xml:space="preserve"> </w:t>
            </w:r>
            <w:r w:rsidRPr="00C32EDC">
              <w:rPr>
                <w:rFonts w:ascii="Arial" w:hAnsi="Arial" w:cs="Arial"/>
                <w:b/>
                <w:color w:val="000000" w:themeColor="text1"/>
                <w:spacing w:val="-1"/>
                <w:sz w:val="19"/>
              </w:rPr>
              <w:t>charges</w:t>
            </w:r>
            <w:r w:rsidRPr="00C32EDC">
              <w:rPr>
                <w:rFonts w:ascii="Arial" w:hAnsi="Arial" w:cs="Arial"/>
                <w:b/>
                <w:color w:val="000000" w:themeColor="text1"/>
                <w:spacing w:val="10"/>
                <w:sz w:val="19"/>
              </w:rPr>
              <w:t xml:space="preserve"> </w:t>
            </w:r>
            <w:r w:rsidRPr="00C32EDC">
              <w:rPr>
                <w:rFonts w:ascii="Arial" w:hAnsi="Arial" w:cs="Arial"/>
                <w:b/>
                <w:color w:val="000000" w:themeColor="text1"/>
                <w:sz w:val="19"/>
              </w:rPr>
              <w:t>for</w:t>
            </w:r>
            <w:r w:rsidRPr="00C32EDC">
              <w:rPr>
                <w:rFonts w:ascii="Arial" w:hAnsi="Arial" w:cs="Arial"/>
                <w:b/>
                <w:color w:val="000000" w:themeColor="text1"/>
                <w:spacing w:val="9"/>
                <w:sz w:val="19"/>
              </w:rPr>
              <w:t xml:space="preserve"> typical </w:t>
            </w:r>
            <w:r w:rsidRPr="00C32EDC">
              <w:rPr>
                <w:rFonts w:ascii="Arial" w:hAnsi="Arial" w:cs="Arial"/>
                <w:b/>
                <w:color w:val="000000" w:themeColor="text1"/>
                <w:spacing w:val="-1"/>
                <w:sz w:val="19"/>
              </w:rPr>
              <w:t>funds</w:t>
            </w:r>
            <w:r w:rsidRPr="00C32EDC">
              <w:rPr>
                <w:rFonts w:ascii="Arial" w:hAnsi="Arial" w:cs="Arial"/>
                <w:b/>
                <w:color w:val="000000" w:themeColor="text1"/>
                <w:spacing w:val="11"/>
                <w:sz w:val="19"/>
              </w:rPr>
              <w:t xml:space="preserve"> </w:t>
            </w:r>
          </w:p>
          <w:p w14:paraId="09F5BADA" w14:textId="77777777" w:rsidR="00CF7ED5" w:rsidRPr="001427F1" w:rsidRDefault="00CF7ED5" w:rsidP="005D4764">
            <w:pPr>
              <w:pStyle w:val="TableParagraph"/>
              <w:spacing w:before="10"/>
              <w:jc w:val="center"/>
              <w:rPr>
                <w:rFonts w:ascii="Arial" w:eastAsia="Source Sans Pro" w:hAnsi="Arial" w:cs="Arial"/>
                <w:b/>
                <w:bCs/>
                <w:color w:val="FF0000"/>
                <w:sz w:val="20"/>
                <w:szCs w:val="20"/>
              </w:rPr>
            </w:pPr>
            <w:r w:rsidRPr="00C32EDC">
              <w:rPr>
                <w:rFonts w:ascii="Arial" w:hAnsi="Arial" w:cs="Arial"/>
                <w:b/>
                <w:color w:val="000000" w:themeColor="text1"/>
                <w:spacing w:val="11"/>
                <w:sz w:val="19"/>
              </w:rPr>
              <w:t>under the Aviva AVC arrangement</w:t>
            </w:r>
          </w:p>
        </w:tc>
      </w:tr>
      <w:tr w:rsidR="001427F1" w:rsidRPr="001427F1" w14:paraId="0F6B6D17" w14:textId="77777777" w:rsidTr="005D4764">
        <w:trPr>
          <w:trHeight w:hRule="exact" w:val="495"/>
        </w:trPr>
        <w:tc>
          <w:tcPr>
            <w:tcW w:w="936" w:type="dxa"/>
            <w:vMerge w:val="restart"/>
            <w:tcBorders>
              <w:top w:val="single" w:sz="8" w:space="0" w:color="000000"/>
              <w:left w:val="single" w:sz="8" w:space="0" w:color="000000"/>
              <w:right w:val="single" w:sz="8" w:space="0" w:color="000000"/>
            </w:tcBorders>
            <w:shd w:val="clear" w:color="auto" w:fill="F2F2F2" w:themeFill="background1" w:themeFillShade="F2"/>
          </w:tcPr>
          <w:p w14:paraId="36CE7F91" w14:textId="77777777" w:rsidR="00CF7ED5" w:rsidRPr="001427F1" w:rsidRDefault="00CF7ED5" w:rsidP="005D4764">
            <w:pPr>
              <w:rPr>
                <w:rFonts w:ascii="Arial" w:hAnsi="Arial" w:cs="Arial"/>
                <w:color w:val="FF0000"/>
              </w:rPr>
            </w:pPr>
          </w:p>
        </w:tc>
        <w:tc>
          <w:tcPr>
            <w:tcW w:w="2678"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2B00A1B6" w14:textId="19B1611F" w:rsidR="00CF7ED5" w:rsidRPr="00700602" w:rsidRDefault="00C216FC" w:rsidP="005D4764">
            <w:pPr>
              <w:pStyle w:val="TableParagraph"/>
              <w:spacing w:line="288" w:lineRule="auto"/>
              <w:jc w:val="center"/>
              <w:rPr>
                <w:rFonts w:ascii="Arial" w:eastAsia="Source Sans Pro" w:hAnsi="Arial" w:cs="Arial"/>
                <w:color w:val="000000" w:themeColor="text1"/>
                <w:sz w:val="16"/>
                <w:szCs w:val="16"/>
              </w:rPr>
            </w:pPr>
            <w:r w:rsidRPr="00700602">
              <w:rPr>
                <w:rFonts w:ascii="Arial" w:eastAsia="Source Sans Pro" w:hAnsi="Arial" w:cs="Arial"/>
                <w:b/>
                <w:bCs/>
                <w:color w:val="000000" w:themeColor="text1"/>
                <w:sz w:val="16"/>
                <w:szCs w:val="16"/>
              </w:rPr>
              <w:t>Mixed Investment (40-85% Shares)</w:t>
            </w:r>
          </w:p>
        </w:tc>
        <w:tc>
          <w:tcPr>
            <w:tcW w:w="2678"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4652B955" w14:textId="1EE18261" w:rsidR="00CF7ED5" w:rsidRPr="00700602" w:rsidRDefault="00C216FC" w:rsidP="005D4764">
            <w:pPr>
              <w:pStyle w:val="TableParagraph"/>
              <w:jc w:val="center"/>
              <w:rPr>
                <w:rFonts w:ascii="Arial" w:eastAsia="Source Sans Pro" w:hAnsi="Arial" w:cs="Arial"/>
                <w:color w:val="000000" w:themeColor="text1"/>
                <w:sz w:val="16"/>
                <w:szCs w:val="16"/>
              </w:rPr>
            </w:pPr>
            <w:r w:rsidRPr="00700602">
              <w:rPr>
                <w:rFonts w:ascii="Arial" w:hAnsi="Arial" w:cs="Arial"/>
                <w:b/>
                <w:color w:val="000000" w:themeColor="text1"/>
                <w:spacing w:val="-6"/>
                <w:w w:val="105"/>
                <w:sz w:val="16"/>
                <w:szCs w:val="16"/>
              </w:rPr>
              <w:t>Property</w:t>
            </w:r>
          </w:p>
        </w:tc>
        <w:tc>
          <w:tcPr>
            <w:tcW w:w="2678"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6E9CC62C" w14:textId="3BE1E158" w:rsidR="00CF7ED5" w:rsidRPr="002E69BD" w:rsidRDefault="005F2463" w:rsidP="005D4764">
            <w:pPr>
              <w:pStyle w:val="TableParagraph"/>
              <w:spacing w:line="288" w:lineRule="auto"/>
              <w:jc w:val="center"/>
              <w:rPr>
                <w:rFonts w:ascii="Arial" w:hAnsi="Arial" w:cs="Arial"/>
                <w:b/>
                <w:color w:val="000000" w:themeColor="text1"/>
                <w:spacing w:val="-1"/>
                <w:w w:val="105"/>
                <w:sz w:val="16"/>
                <w:szCs w:val="16"/>
              </w:rPr>
            </w:pPr>
            <w:r w:rsidRPr="002E69BD">
              <w:rPr>
                <w:rFonts w:ascii="Arial" w:hAnsi="Arial" w:cs="Arial"/>
                <w:b/>
                <w:color w:val="000000" w:themeColor="text1"/>
                <w:w w:val="105"/>
                <w:sz w:val="16"/>
                <w:szCs w:val="16"/>
              </w:rPr>
              <w:t>Pacific Equity</w:t>
            </w:r>
          </w:p>
        </w:tc>
      </w:tr>
      <w:tr w:rsidR="001427F1" w:rsidRPr="001427F1" w14:paraId="6752EF34" w14:textId="77777777" w:rsidTr="005D4764">
        <w:trPr>
          <w:trHeight w:hRule="exact" w:val="852"/>
        </w:trPr>
        <w:tc>
          <w:tcPr>
            <w:tcW w:w="936" w:type="dxa"/>
            <w:vMerge/>
            <w:tcBorders>
              <w:left w:val="single" w:sz="8" w:space="0" w:color="000000"/>
              <w:right w:val="single" w:sz="8" w:space="0" w:color="000000"/>
            </w:tcBorders>
            <w:shd w:val="clear" w:color="auto" w:fill="F2F2F2" w:themeFill="background1" w:themeFillShade="F2"/>
          </w:tcPr>
          <w:p w14:paraId="2744BC6F" w14:textId="77777777" w:rsidR="00CF7ED5" w:rsidRPr="001427F1" w:rsidRDefault="00CF7ED5" w:rsidP="005D4764">
            <w:pPr>
              <w:rPr>
                <w:rFonts w:ascii="Arial" w:hAnsi="Arial" w:cs="Arial"/>
                <w:color w:val="FF0000"/>
              </w:rPr>
            </w:pPr>
          </w:p>
        </w:tc>
        <w:tc>
          <w:tcPr>
            <w:tcW w:w="2678" w:type="dxa"/>
            <w:gridSpan w:val="2"/>
            <w:tcBorders>
              <w:top w:val="single" w:sz="8" w:space="0" w:color="000000"/>
              <w:left w:val="single" w:sz="8" w:space="0" w:color="000000"/>
              <w:bottom w:val="single" w:sz="8" w:space="0" w:color="000000"/>
              <w:right w:val="single" w:sz="8" w:space="0" w:color="000000"/>
            </w:tcBorders>
            <w:shd w:val="clear" w:color="auto" w:fill="F1F1F1"/>
          </w:tcPr>
          <w:p w14:paraId="12FDC731" w14:textId="77777777" w:rsidR="00CF7ED5" w:rsidRPr="00700602" w:rsidRDefault="00CF7ED5" w:rsidP="005D4764">
            <w:pPr>
              <w:pStyle w:val="TableParagraph"/>
              <w:spacing w:before="45"/>
              <w:jc w:val="center"/>
              <w:rPr>
                <w:rFonts w:ascii="Arial" w:hAnsi="Arial" w:cs="Arial"/>
                <w:b/>
                <w:color w:val="000000" w:themeColor="text1"/>
                <w:spacing w:val="-3"/>
                <w:w w:val="105"/>
                <w:sz w:val="16"/>
                <w:szCs w:val="16"/>
              </w:rPr>
            </w:pPr>
            <w:r w:rsidRPr="00700602">
              <w:rPr>
                <w:rFonts w:ascii="Arial" w:hAnsi="Arial" w:cs="Arial"/>
                <w:b/>
                <w:color w:val="000000" w:themeColor="text1"/>
                <w:spacing w:val="-1"/>
                <w:w w:val="105"/>
                <w:sz w:val="16"/>
                <w:szCs w:val="16"/>
              </w:rPr>
              <w:t>Assumed</w:t>
            </w:r>
            <w:r w:rsidRPr="00700602">
              <w:rPr>
                <w:rFonts w:ascii="Arial" w:hAnsi="Arial" w:cs="Arial"/>
                <w:b/>
                <w:color w:val="000000" w:themeColor="text1"/>
                <w:spacing w:val="-4"/>
                <w:w w:val="105"/>
                <w:sz w:val="16"/>
                <w:szCs w:val="16"/>
              </w:rPr>
              <w:t xml:space="preserve"> </w:t>
            </w:r>
            <w:r w:rsidRPr="00700602">
              <w:rPr>
                <w:rFonts w:ascii="Arial" w:hAnsi="Arial" w:cs="Arial"/>
                <w:b/>
                <w:color w:val="000000" w:themeColor="text1"/>
                <w:spacing w:val="-1"/>
                <w:w w:val="105"/>
                <w:sz w:val="16"/>
                <w:szCs w:val="16"/>
              </w:rPr>
              <w:t>growth</w:t>
            </w:r>
            <w:r w:rsidRPr="00700602">
              <w:rPr>
                <w:rFonts w:ascii="Arial" w:hAnsi="Arial" w:cs="Arial"/>
                <w:b/>
                <w:color w:val="000000" w:themeColor="text1"/>
                <w:spacing w:val="-4"/>
                <w:w w:val="105"/>
                <w:sz w:val="16"/>
                <w:szCs w:val="16"/>
              </w:rPr>
              <w:t xml:space="preserve"> </w:t>
            </w:r>
            <w:r w:rsidRPr="00700602">
              <w:rPr>
                <w:rFonts w:ascii="Arial" w:hAnsi="Arial" w:cs="Arial"/>
                <w:b/>
                <w:color w:val="000000" w:themeColor="text1"/>
                <w:spacing w:val="-1"/>
                <w:w w:val="105"/>
                <w:sz w:val="16"/>
                <w:szCs w:val="16"/>
              </w:rPr>
              <w:t>rate</w:t>
            </w:r>
          </w:p>
          <w:p w14:paraId="2CCF669D" w14:textId="77777777" w:rsidR="00CF7ED5" w:rsidRPr="00700602" w:rsidRDefault="00CF7ED5" w:rsidP="005D4764">
            <w:pPr>
              <w:pStyle w:val="TableParagraph"/>
              <w:spacing w:before="45"/>
              <w:jc w:val="center"/>
              <w:rPr>
                <w:rFonts w:ascii="Arial" w:hAnsi="Arial" w:cs="Arial"/>
                <w:b/>
                <w:color w:val="000000" w:themeColor="text1"/>
                <w:spacing w:val="-3"/>
                <w:w w:val="105"/>
                <w:sz w:val="16"/>
                <w:szCs w:val="16"/>
              </w:rPr>
            </w:pPr>
            <w:r w:rsidRPr="00700602">
              <w:rPr>
                <w:rFonts w:ascii="Arial" w:hAnsi="Arial" w:cs="Arial"/>
                <w:b/>
                <w:color w:val="000000" w:themeColor="text1"/>
                <w:spacing w:val="-3"/>
                <w:w w:val="105"/>
                <w:sz w:val="16"/>
                <w:szCs w:val="16"/>
              </w:rPr>
              <w:t>before inflation</w:t>
            </w:r>
          </w:p>
          <w:p w14:paraId="2BA05746" w14:textId="4ED4C558" w:rsidR="00CF7ED5" w:rsidRPr="00700602" w:rsidRDefault="00700602" w:rsidP="005D4764">
            <w:pPr>
              <w:pStyle w:val="TableParagraph"/>
              <w:spacing w:before="45"/>
              <w:jc w:val="center"/>
              <w:rPr>
                <w:rFonts w:ascii="Arial" w:eastAsia="Source Sans Pro" w:hAnsi="Arial" w:cs="Arial"/>
                <w:color w:val="000000" w:themeColor="text1"/>
                <w:sz w:val="16"/>
                <w:szCs w:val="16"/>
              </w:rPr>
            </w:pPr>
            <w:r w:rsidRPr="00700602">
              <w:rPr>
                <w:rFonts w:ascii="Arial" w:hAnsi="Arial" w:cs="Arial"/>
                <w:b/>
                <w:color w:val="000000" w:themeColor="text1"/>
                <w:spacing w:val="-1"/>
                <w:w w:val="105"/>
                <w:sz w:val="16"/>
                <w:szCs w:val="16"/>
              </w:rPr>
              <w:t>4</w:t>
            </w:r>
            <w:r w:rsidR="00CF7ED5" w:rsidRPr="00700602">
              <w:rPr>
                <w:rFonts w:ascii="Arial" w:hAnsi="Arial" w:cs="Arial"/>
                <w:b/>
                <w:color w:val="000000" w:themeColor="text1"/>
                <w:spacing w:val="-1"/>
                <w:w w:val="105"/>
                <w:sz w:val="16"/>
                <w:szCs w:val="16"/>
              </w:rPr>
              <w:t>.</w:t>
            </w:r>
            <w:r w:rsidRPr="00700602">
              <w:rPr>
                <w:rFonts w:ascii="Arial" w:hAnsi="Arial" w:cs="Arial"/>
                <w:b/>
                <w:color w:val="000000" w:themeColor="text1"/>
                <w:spacing w:val="-1"/>
                <w:w w:val="105"/>
                <w:sz w:val="16"/>
                <w:szCs w:val="16"/>
              </w:rPr>
              <w:t>7</w:t>
            </w:r>
            <w:r w:rsidR="00CF7ED5" w:rsidRPr="00700602">
              <w:rPr>
                <w:rFonts w:ascii="Arial" w:hAnsi="Arial" w:cs="Arial"/>
                <w:b/>
                <w:color w:val="000000" w:themeColor="text1"/>
                <w:spacing w:val="-1"/>
                <w:w w:val="105"/>
                <w:sz w:val="16"/>
                <w:szCs w:val="16"/>
              </w:rPr>
              <w:t>% pa</w:t>
            </w:r>
          </w:p>
        </w:tc>
        <w:tc>
          <w:tcPr>
            <w:tcW w:w="2678" w:type="dxa"/>
            <w:gridSpan w:val="2"/>
            <w:tcBorders>
              <w:top w:val="single" w:sz="8" w:space="0" w:color="000000"/>
              <w:left w:val="single" w:sz="8" w:space="0" w:color="000000"/>
              <w:bottom w:val="single" w:sz="8" w:space="0" w:color="000000"/>
              <w:right w:val="single" w:sz="8" w:space="0" w:color="000000"/>
            </w:tcBorders>
            <w:shd w:val="clear" w:color="auto" w:fill="F1F1F1"/>
          </w:tcPr>
          <w:p w14:paraId="4140E1C9" w14:textId="77777777" w:rsidR="00CF7ED5" w:rsidRPr="00700602" w:rsidRDefault="00CF7ED5" w:rsidP="005D4764">
            <w:pPr>
              <w:pStyle w:val="TableParagraph"/>
              <w:spacing w:before="45"/>
              <w:jc w:val="center"/>
              <w:rPr>
                <w:rFonts w:ascii="Arial" w:hAnsi="Arial" w:cs="Arial"/>
                <w:b/>
                <w:color w:val="000000" w:themeColor="text1"/>
                <w:spacing w:val="-3"/>
                <w:w w:val="105"/>
                <w:sz w:val="16"/>
                <w:szCs w:val="16"/>
              </w:rPr>
            </w:pPr>
            <w:r w:rsidRPr="00700602">
              <w:rPr>
                <w:rFonts w:ascii="Arial" w:hAnsi="Arial" w:cs="Arial"/>
                <w:b/>
                <w:color w:val="000000" w:themeColor="text1"/>
                <w:spacing w:val="-1"/>
                <w:w w:val="105"/>
                <w:sz w:val="16"/>
                <w:szCs w:val="16"/>
              </w:rPr>
              <w:t>Assumed</w:t>
            </w:r>
            <w:r w:rsidRPr="00700602">
              <w:rPr>
                <w:rFonts w:ascii="Arial" w:hAnsi="Arial" w:cs="Arial"/>
                <w:b/>
                <w:color w:val="000000" w:themeColor="text1"/>
                <w:spacing w:val="-4"/>
                <w:w w:val="105"/>
                <w:sz w:val="16"/>
                <w:szCs w:val="16"/>
              </w:rPr>
              <w:t xml:space="preserve"> </w:t>
            </w:r>
            <w:r w:rsidRPr="00700602">
              <w:rPr>
                <w:rFonts w:ascii="Arial" w:hAnsi="Arial" w:cs="Arial"/>
                <w:b/>
                <w:color w:val="000000" w:themeColor="text1"/>
                <w:spacing w:val="-1"/>
                <w:w w:val="105"/>
                <w:sz w:val="16"/>
                <w:szCs w:val="16"/>
              </w:rPr>
              <w:t>growth</w:t>
            </w:r>
            <w:r w:rsidRPr="00700602">
              <w:rPr>
                <w:rFonts w:ascii="Arial" w:hAnsi="Arial" w:cs="Arial"/>
                <w:b/>
                <w:color w:val="000000" w:themeColor="text1"/>
                <w:spacing w:val="-5"/>
                <w:w w:val="105"/>
                <w:sz w:val="16"/>
                <w:szCs w:val="16"/>
              </w:rPr>
              <w:t xml:space="preserve"> </w:t>
            </w:r>
            <w:r w:rsidRPr="00700602">
              <w:rPr>
                <w:rFonts w:ascii="Arial" w:hAnsi="Arial" w:cs="Arial"/>
                <w:b/>
                <w:color w:val="000000" w:themeColor="text1"/>
                <w:spacing w:val="-1"/>
                <w:w w:val="105"/>
                <w:sz w:val="16"/>
                <w:szCs w:val="16"/>
              </w:rPr>
              <w:t>rate</w:t>
            </w:r>
          </w:p>
          <w:p w14:paraId="7122AF30" w14:textId="77777777" w:rsidR="00CF7ED5" w:rsidRPr="00700602" w:rsidRDefault="00CF7ED5" w:rsidP="005D4764">
            <w:pPr>
              <w:pStyle w:val="TableParagraph"/>
              <w:spacing w:before="45"/>
              <w:jc w:val="center"/>
              <w:rPr>
                <w:rFonts w:ascii="Arial" w:hAnsi="Arial" w:cs="Arial"/>
                <w:b/>
                <w:color w:val="000000" w:themeColor="text1"/>
                <w:spacing w:val="-3"/>
                <w:w w:val="105"/>
                <w:sz w:val="16"/>
                <w:szCs w:val="16"/>
              </w:rPr>
            </w:pPr>
            <w:r w:rsidRPr="00700602">
              <w:rPr>
                <w:rFonts w:ascii="Arial" w:hAnsi="Arial" w:cs="Arial"/>
                <w:b/>
                <w:color w:val="000000" w:themeColor="text1"/>
                <w:spacing w:val="-3"/>
                <w:w w:val="105"/>
                <w:sz w:val="16"/>
                <w:szCs w:val="16"/>
              </w:rPr>
              <w:t>before inflation</w:t>
            </w:r>
          </w:p>
          <w:p w14:paraId="5AA7B61A" w14:textId="73FA3710" w:rsidR="00CF7ED5" w:rsidRPr="00700602" w:rsidRDefault="00700602" w:rsidP="005D4764">
            <w:pPr>
              <w:pStyle w:val="TableParagraph"/>
              <w:spacing w:before="45"/>
              <w:jc w:val="center"/>
              <w:rPr>
                <w:rFonts w:ascii="Arial" w:eastAsia="Source Sans Pro" w:hAnsi="Arial" w:cs="Arial"/>
                <w:color w:val="000000" w:themeColor="text1"/>
                <w:sz w:val="16"/>
                <w:szCs w:val="16"/>
              </w:rPr>
            </w:pPr>
            <w:r w:rsidRPr="00700602">
              <w:rPr>
                <w:rFonts w:ascii="Arial" w:hAnsi="Arial" w:cs="Arial"/>
                <w:b/>
                <w:color w:val="000000" w:themeColor="text1"/>
                <w:spacing w:val="-1"/>
                <w:w w:val="105"/>
                <w:sz w:val="16"/>
                <w:szCs w:val="16"/>
              </w:rPr>
              <w:t>5.</w:t>
            </w:r>
            <w:r w:rsidR="005976EC" w:rsidRPr="00700602">
              <w:rPr>
                <w:rFonts w:ascii="Arial" w:hAnsi="Arial" w:cs="Arial"/>
                <w:b/>
                <w:color w:val="000000" w:themeColor="text1"/>
                <w:spacing w:val="-1"/>
                <w:w w:val="105"/>
                <w:sz w:val="16"/>
                <w:szCs w:val="16"/>
              </w:rPr>
              <w:t>0</w:t>
            </w:r>
            <w:r w:rsidR="00CF7ED5" w:rsidRPr="00700602">
              <w:rPr>
                <w:rFonts w:ascii="Arial" w:hAnsi="Arial" w:cs="Arial"/>
                <w:b/>
                <w:color w:val="000000" w:themeColor="text1"/>
                <w:spacing w:val="-1"/>
                <w:w w:val="105"/>
                <w:sz w:val="16"/>
                <w:szCs w:val="16"/>
              </w:rPr>
              <w:t>% pa</w:t>
            </w:r>
          </w:p>
        </w:tc>
        <w:tc>
          <w:tcPr>
            <w:tcW w:w="2678" w:type="dxa"/>
            <w:gridSpan w:val="2"/>
            <w:tcBorders>
              <w:top w:val="single" w:sz="8" w:space="0" w:color="000000"/>
              <w:left w:val="single" w:sz="8" w:space="0" w:color="000000"/>
              <w:bottom w:val="single" w:sz="8" w:space="0" w:color="000000"/>
              <w:right w:val="single" w:sz="8" w:space="0" w:color="000000"/>
            </w:tcBorders>
            <w:shd w:val="clear" w:color="auto" w:fill="F1F1F1"/>
          </w:tcPr>
          <w:p w14:paraId="6F01F269" w14:textId="77777777" w:rsidR="00CF7ED5" w:rsidRPr="002E69BD" w:rsidRDefault="00CF7ED5" w:rsidP="005D4764">
            <w:pPr>
              <w:pStyle w:val="TableParagraph"/>
              <w:spacing w:before="45"/>
              <w:jc w:val="center"/>
              <w:rPr>
                <w:rFonts w:ascii="Arial" w:hAnsi="Arial" w:cs="Arial"/>
                <w:b/>
                <w:color w:val="000000" w:themeColor="text1"/>
                <w:spacing w:val="-3"/>
                <w:w w:val="105"/>
                <w:sz w:val="16"/>
                <w:szCs w:val="16"/>
              </w:rPr>
            </w:pPr>
            <w:r w:rsidRPr="002E69BD">
              <w:rPr>
                <w:rFonts w:ascii="Arial" w:hAnsi="Arial" w:cs="Arial"/>
                <w:b/>
                <w:color w:val="000000" w:themeColor="text1"/>
                <w:spacing w:val="-1"/>
                <w:w w:val="105"/>
                <w:sz w:val="16"/>
                <w:szCs w:val="16"/>
              </w:rPr>
              <w:t>Assumed</w:t>
            </w:r>
            <w:r w:rsidRPr="002E69BD">
              <w:rPr>
                <w:rFonts w:ascii="Arial" w:hAnsi="Arial" w:cs="Arial"/>
                <w:b/>
                <w:color w:val="000000" w:themeColor="text1"/>
                <w:spacing w:val="-4"/>
                <w:w w:val="105"/>
                <w:sz w:val="16"/>
                <w:szCs w:val="16"/>
              </w:rPr>
              <w:t xml:space="preserve"> </w:t>
            </w:r>
            <w:r w:rsidRPr="002E69BD">
              <w:rPr>
                <w:rFonts w:ascii="Arial" w:hAnsi="Arial" w:cs="Arial"/>
                <w:b/>
                <w:color w:val="000000" w:themeColor="text1"/>
                <w:spacing w:val="-1"/>
                <w:w w:val="105"/>
                <w:sz w:val="16"/>
                <w:szCs w:val="16"/>
              </w:rPr>
              <w:t>growth</w:t>
            </w:r>
            <w:r w:rsidRPr="002E69BD">
              <w:rPr>
                <w:rFonts w:ascii="Arial" w:hAnsi="Arial" w:cs="Arial"/>
                <w:b/>
                <w:color w:val="000000" w:themeColor="text1"/>
                <w:spacing w:val="-4"/>
                <w:w w:val="105"/>
                <w:sz w:val="16"/>
                <w:szCs w:val="16"/>
              </w:rPr>
              <w:t xml:space="preserve"> </w:t>
            </w:r>
            <w:r w:rsidRPr="002E69BD">
              <w:rPr>
                <w:rFonts w:ascii="Arial" w:hAnsi="Arial" w:cs="Arial"/>
                <w:b/>
                <w:color w:val="000000" w:themeColor="text1"/>
                <w:spacing w:val="-1"/>
                <w:w w:val="105"/>
                <w:sz w:val="16"/>
                <w:szCs w:val="16"/>
              </w:rPr>
              <w:t>rate</w:t>
            </w:r>
          </w:p>
          <w:p w14:paraId="38BDA6B9" w14:textId="77777777" w:rsidR="00CF7ED5" w:rsidRPr="002E69BD" w:rsidRDefault="00CF7ED5" w:rsidP="005D4764">
            <w:pPr>
              <w:pStyle w:val="TableParagraph"/>
              <w:spacing w:before="45"/>
              <w:jc w:val="center"/>
              <w:rPr>
                <w:rFonts w:ascii="Arial" w:hAnsi="Arial" w:cs="Arial"/>
                <w:b/>
                <w:color w:val="000000" w:themeColor="text1"/>
                <w:spacing w:val="-3"/>
                <w:w w:val="105"/>
                <w:sz w:val="16"/>
                <w:szCs w:val="16"/>
              </w:rPr>
            </w:pPr>
            <w:r w:rsidRPr="002E69BD">
              <w:rPr>
                <w:rFonts w:ascii="Arial" w:hAnsi="Arial" w:cs="Arial"/>
                <w:b/>
                <w:color w:val="000000" w:themeColor="text1"/>
                <w:spacing w:val="-3"/>
                <w:w w:val="105"/>
                <w:sz w:val="16"/>
                <w:szCs w:val="16"/>
              </w:rPr>
              <w:t>before inflation</w:t>
            </w:r>
          </w:p>
          <w:p w14:paraId="5EB1D55B" w14:textId="371D3227" w:rsidR="00CF7ED5" w:rsidRPr="002E69BD" w:rsidRDefault="005F2463" w:rsidP="005D4764">
            <w:pPr>
              <w:pStyle w:val="TableParagraph"/>
              <w:spacing w:before="45"/>
              <w:jc w:val="center"/>
              <w:rPr>
                <w:rFonts w:ascii="Arial" w:eastAsia="Source Sans Pro" w:hAnsi="Arial" w:cs="Arial"/>
                <w:color w:val="000000" w:themeColor="text1"/>
                <w:sz w:val="16"/>
                <w:szCs w:val="16"/>
              </w:rPr>
            </w:pPr>
            <w:r w:rsidRPr="002E69BD">
              <w:rPr>
                <w:rFonts w:ascii="Arial" w:hAnsi="Arial" w:cs="Arial"/>
                <w:b/>
                <w:color w:val="000000" w:themeColor="text1"/>
                <w:spacing w:val="-1"/>
                <w:w w:val="105"/>
                <w:sz w:val="16"/>
                <w:szCs w:val="16"/>
              </w:rPr>
              <w:t>5</w:t>
            </w:r>
            <w:r w:rsidR="002E69BD" w:rsidRPr="002E69BD">
              <w:rPr>
                <w:rFonts w:ascii="Arial" w:hAnsi="Arial" w:cs="Arial"/>
                <w:b/>
                <w:color w:val="000000" w:themeColor="text1"/>
                <w:spacing w:val="-1"/>
                <w:w w:val="105"/>
                <w:sz w:val="16"/>
                <w:szCs w:val="16"/>
              </w:rPr>
              <w:t>.0</w:t>
            </w:r>
            <w:r w:rsidR="00CF7ED5" w:rsidRPr="002E69BD">
              <w:rPr>
                <w:rFonts w:ascii="Arial" w:hAnsi="Arial" w:cs="Arial"/>
                <w:b/>
                <w:color w:val="000000" w:themeColor="text1"/>
                <w:spacing w:val="-1"/>
                <w:w w:val="105"/>
                <w:sz w:val="16"/>
                <w:szCs w:val="16"/>
              </w:rPr>
              <w:t>% pa</w:t>
            </w:r>
          </w:p>
        </w:tc>
      </w:tr>
      <w:tr w:rsidR="001427F1" w:rsidRPr="001427F1" w14:paraId="6CA2AA52" w14:textId="77777777" w:rsidTr="005D4764">
        <w:trPr>
          <w:trHeight w:hRule="exact" w:val="569"/>
        </w:trPr>
        <w:tc>
          <w:tcPr>
            <w:tcW w:w="936" w:type="dxa"/>
            <w:vMerge/>
            <w:tcBorders>
              <w:left w:val="single" w:sz="8" w:space="0" w:color="000000"/>
              <w:bottom w:val="single" w:sz="8" w:space="0" w:color="000000"/>
              <w:right w:val="single" w:sz="8" w:space="0" w:color="000000"/>
            </w:tcBorders>
            <w:shd w:val="clear" w:color="auto" w:fill="F2F2F2" w:themeFill="background1" w:themeFillShade="F2"/>
          </w:tcPr>
          <w:p w14:paraId="73AF9459" w14:textId="77777777" w:rsidR="00CF7ED5" w:rsidRPr="001427F1" w:rsidRDefault="00CF7ED5" w:rsidP="005D4764">
            <w:pPr>
              <w:rPr>
                <w:rFonts w:ascii="Arial" w:hAnsi="Arial" w:cs="Arial"/>
                <w:color w:val="FF0000"/>
              </w:rPr>
            </w:pPr>
          </w:p>
        </w:tc>
        <w:tc>
          <w:tcPr>
            <w:tcW w:w="2678" w:type="dxa"/>
            <w:gridSpan w:val="2"/>
            <w:tcBorders>
              <w:top w:val="single" w:sz="8" w:space="0" w:color="000000"/>
              <w:left w:val="single" w:sz="8" w:space="0" w:color="000000"/>
              <w:bottom w:val="single" w:sz="8" w:space="0" w:color="000000"/>
              <w:right w:val="single" w:sz="8" w:space="0" w:color="000000"/>
            </w:tcBorders>
            <w:shd w:val="clear" w:color="auto" w:fill="F1F1F1"/>
          </w:tcPr>
          <w:p w14:paraId="31DB2134" w14:textId="2AE9A925" w:rsidR="00CF7ED5" w:rsidRPr="001427F1" w:rsidRDefault="00CF7ED5" w:rsidP="005D4764">
            <w:pPr>
              <w:pStyle w:val="TableParagraph"/>
              <w:spacing w:before="45"/>
              <w:jc w:val="center"/>
              <w:rPr>
                <w:rFonts w:ascii="Arial" w:eastAsia="Source Sans Pro" w:hAnsi="Arial" w:cs="Arial"/>
                <w:color w:val="FF0000"/>
                <w:sz w:val="16"/>
                <w:szCs w:val="16"/>
              </w:rPr>
            </w:pPr>
            <w:r w:rsidRPr="00700602">
              <w:rPr>
                <w:rFonts w:ascii="Arial" w:hAnsi="Arial" w:cs="Arial"/>
                <w:b/>
                <w:color w:val="000000" w:themeColor="text1"/>
                <w:spacing w:val="-1"/>
                <w:w w:val="105"/>
                <w:sz w:val="16"/>
                <w:szCs w:val="16"/>
              </w:rPr>
              <w:t>Assumed</w:t>
            </w:r>
            <w:r w:rsidRPr="00700602">
              <w:rPr>
                <w:rFonts w:ascii="Arial" w:hAnsi="Arial" w:cs="Arial"/>
                <w:b/>
                <w:color w:val="000000" w:themeColor="text1"/>
                <w:spacing w:val="-3"/>
                <w:w w:val="105"/>
                <w:sz w:val="16"/>
                <w:szCs w:val="16"/>
              </w:rPr>
              <w:t xml:space="preserve"> </w:t>
            </w:r>
            <w:r w:rsidRPr="00700602">
              <w:rPr>
                <w:rFonts w:ascii="Arial" w:hAnsi="Arial" w:cs="Arial"/>
                <w:b/>
                <w:color w:val="000000" w:themeColor="text1"/>
                <w:spacing w:val="-1"/>
                <w:w w:val="105"/>
                <w:sz w:val="16"/>
                <w:szCs w:val="16"/>
              </w:rPr>
              <w:t>costs</w:t>
            </w:r>
            <w:r w:rsidRPr="00700602">
              <w:rPr>
                <w:rFonts w:ascii="Arial" w:hAnsi="Arial" w:cs="Arial"/>
                <w:b/>
                <w:color w:val="000000" w:themeColor="text1"/>
                <w:spacing w:val="-3"/>
                <w:w w:val="105"/>
                <w:sz w:val="16"/>
                <w:szCs w:val="16"/>
              </w:rPr>
              <w:t xml:space="preserve"> </w:t>
            </w:r>
            <w:r w:rsidRPr="00700602">
              <w:rPr>
                <w:rFonts w:ascii="Arial" w:hAnsi="Arial" w:cs="Arial"/>
                <w:b/>
                <w:color w:val="000000" w:themeColor="text1"/>
                <w:spacing w:val="-1"/>
                <w:w w:val="105"/>
                <w:sz w:val="16"/>
                <w:szCs w:val="16"/>
              </w:rPr>
              <w:t>and</w:t>
            </w:r>
            <w:r w:rsidRPr="00700602">
              <w:rPr>
                <w:rFonts w:ascii="Arial" w:hAnsi="Arial" w:cs="Arial"/>
                <w:b/>
                <w:color w:val="000000" w:themeColor="text1"/>
                <w:spacing w:val="-2"/>
                <w:w w:val="105"/>
                <w:sz w:val="16"/>
                <w:szCs w:val="16"/>
              </w:rPr>
              <w:t xml:space="preserve"> </w:t>
            </w:r>
            <w:r w:rsidRPr="00700602">
              <w:rPr>
                <w:rFonts w:ascii="Arial" w:hAnsi="Arial" w:cs="Arial"/>
                <w:b/>
                <w:color w:val="000000" w:themeColor="text1"/>
                <w:spacing w:val="-1"/>
                <w:w w:val="105"/>
                <w:sz w:val="16"/>
                <w:szCs w:val="16"/>
              </w:rPr>
              <w:t>charges</w:t>
            </w:r>
            <w:r w:rsidRPr="00700602">
              <w:rPr>
                <w:rFonts w:ascii="Arial" w:hAnsi="Arial" w:cs="Arial"/>
                <w:b/>
                <w:color w:val="000000" w:themeColor="text1"/>
                <w:spacing w:val="18"/>
                <w:w w:val="105"/>
                <w:sz w:val="16"/>
                <w:szCs w:val="16"/>
              </w:rPr>
              <w:t xml:space="preserve"> </w:t>
            </w:r>
            <w:r w:rsidRPr="00F633FF">
              <w:rPr>
                <w:rFonts w:ascii="Arial" w:hAnsi="Arial" w:cs="Arial"/>
                <w:b/>
                <w:color w:val="000000" w:themeColor="text1"/>
                <w:spacing w:val="-1"/>
                <w:w w:val="105"/>
                <w:sz w:val="16"/>
                <w:szCs w:val="16"/>
              </w:rPr>
              <w:t>0.</w:t>
            </w:r>
            <w:r w:rsidR="00700602" w:rsidRPr="00672651">
              <w:rPr>
                <w:rFonts w:ascii="Arial" w:hAnsi="Arial" w:cs="Arial"/>
                <w:b/>
                <w:color w:val="000000" w:themeColor="text1"/>
                <w:spacing w:val="-1"/>
                <w:w w:val="105"/>
                <w:sz w:val="16"/>
                <w:szCs w:val="16"/>
              </w:rPr>
              <w:t>6</w:t>
            </w:r>
            <w:r w:rsidR="007575BD" w:rsidRPr="00672651">
              <w:rPr>
                <w:rFonts w:ascii="Arial" w:hAnsi="Arial" w:cs="Arial"/>
                <w:b/>
                <w:color w:val="000000" w:themeColor="text1"/>
                <w:spacing w:val="-1"/>
                <w:w w:val="105"/>
                <w:sz w:val="16"/>
                <w:szCs w:val="16"/>
              </w:rPr>
              <w:t>8</w:t>
            </w:r>
            <w:r w:rsidRPr="00F633FF">
              <w:rPr>
                <w:rFonts w:ascii="Arial" w:hAnsi="Arial" w:cs="Arial"/>
                <w:b/>
                <w:color w:val="000000" w:themeColor="text1"/>
                <w:spacing w:val="-1"/>
                <w:w w:val="105"/>
                <w:sz w:val="16"/>
                <w:szCs w:val="16"/>
              </w:rPr>
              <w:t>% pa</w:t>
            </w:r>
          </w:p>
        </w:tc>
        <w:tc>
          <w:tcPr>
            <w:tcW w:w="2678" w:type="dxa"/>
            <w:gridSpan w:val="2"/>
            <w:tcBorders>
              <w:top w:val="single" w:sz="8" w:space="0" w:color="000000"/>
              <w:left w:val="single" w:sz="8" w:space="0" w:color="000000"/>
              <w:bottom w:val="single" w:sz="8" w:space="0" w:color="000000"/>
              <w:right w:val="single" w:sz="8" w:space="0" w:color="000000"/>
            </w:tcBorders>
            <w:shd w:val="clear" w:color="auto" w:fill="F1F1F1"/>
          </w:tcPr>
          <w:p w14:paraId="3E959FEF" w14:textId="7E8E533D" w:rsidR="00CF7ED5" w:rsidRPr="00700602" w:rsidRDefault="00CF7ED5" w:rsidP="005D4764">
            <w:pPr>
              <w:pStyle w:val="TableParagraph"/>
              <w:spacing w:before="45"/>
              <w:jc w:val="center"/>
              <w:rPr>
                <w:rFonts w:ascii="Arial" w:eastAsia="Source Sans Pro" w:hAnsi="Arial" w:cs="Arial"/>
                <w:color w:val="000000" w:themeColor="text1"/>
                <w:sz w:val="16"/>
                <w:szCs w:val="16"/>
              </w:rPr>
            </w:pPr>
            <w:r w:rsidRPr="00700602">
              <w:rPr>
                <w:rFonts w:ascii="Arial" w:hAnsi="Arial" w:cs="Arial"/>
                <w:b/>
                <w:color w:val="000000" w:themeColor="text1"/>
                <w:spacing w:val="-1"/>
                <w:w w:val="105"/>
                <w:sz w:val="16"/>
                <w:szCs w:val="16"/>
              </w:rPr>
              <w:t>Assumed</w:t>
            </w:r>
            <w:r w:rsidRPr="00700602">
              <w:rPr>
                <w:rFonts w:ascii="Arial" w:hAnsi="Arial" w:cs="Arial"/>
                <w:b/>
                <w:color w:val="000000" w:themeColor="text1"/>
                <w:spacing w:val="-3"/>
                <w:w w:val="105"/>
                <w:sz w:val="16"/>
                <w:szCs w:val="16"/>
              </w:rPr>
              <w:t xml:space="preserve"> </w:t>
            </w:r>
            <w:r w:rsidRPr="00700602">
              <w:rPr>
                <w:rFonts w:ascii="Arial" w:hAnsi="Arial" w:cs="Arial"/>
                <w:b/>
                <w:color w:val="000000" w:themeColor="text1"/>
                <w:spacing w:val="-1"/>
                <w:w w:val="105"/>
                <w:sz w:val="16"/>
                <w:szCs w:val="16"/>
              </w:rPr>
              <w:t>costs</w:t>
            </w:r>
            <w:r w:rsidRPr="00700602">
              <w:rPr>
                <w:rFonts w:ascii="Arial" w:hAnsi="Arial" w:cs="Arial"/>
                <w:b/>
                <w:color w:val="000000" w:themeColor="text1"/>
                <w:spacing w:val="-3"/>
                <w:w w:val="105"/>
                <w:sz w:val="16"/>
                <w:szCs w:val="16"/>
              </w:rPr>
              <w:t xml:space="preserve"> </w:t>
            </w:r>
            <w:r w:rsidRPr="00700602">
              <w:rPr>
                <w:rFonts w:ascii="Arial" w:hAnsi="Arial" w:cs="Arial"/>
                <w:b/>
                <w:color w:val="000000" w:themeColor="text1"/>
                <w:spacing w:val="-1"/>
                <w:w w:val="105"/>
                <w:sz w:val="16"/>
                <w:szCs w:val="16"/>
              </w:rPr>
              <w:t>and</w:t>
            </w:r>
            <w:r w:rsidRPr="00700602">
              <w:rPr>
                <w:rFonts w:ascii="Arial" w:hAnsi="Arial" w:cs="Arial"/>
                <w:b/>
                <w:color w:val="000000" w:themeColor="text1"/>
                <w:spacing w:val="-2"/>
                <w:w w:val="105"/>
                <w:sz w:val="16"/>
                <w:szCs w:val="16"/>
              </w:rPr>
              <w:t xml:space="preserve"> </w:t>
            </w:r>
            <w:r w:rsidRPr="00700602">
              <w:rPr>
                <w:rFonts w:ascii="Arial" w:hAnsi="Arial" w:cs="Arial"/>
                <w:b/>
                <w:color w:val="000000" w:themeColor="text1"/>
                <w:spacing w:val="-1"/>
                <w:w w:val="105"/>
                <w:sz w:val="16"/>
                <w:szCs w:val="16"/>
              </w:rPr>
              <w:t>charges</w:t>
            </w:r>
            <w:r w:rsidRPr="00700602">
              <w:rPr>
                <w:rFonts w:ascii="Arial" w:hAnsi="Arial" w:cs="Arial"/>
                <w:b/>
                <w:color w:val="000000" w:themeColor="text1"/>
                <w:spacing w:val="18"/>
                <w:w w:val="105"/>
                <w:sz w:val="16"/>
                <w:szCs w:val="16"/>
              </w:rPr>
              <w:t xml:space="preserve"> </w:t>
            </w:r>
            <w:r w:rsidRPr="00700602">
              <w:rPr>
                <w:rFonts w:ascii="Arial" w:hAnsi="Arial" w:cs="Arial"/>
                <w:b/>
                <w:color w:val="000000" w:themeColor="text1"/>
                <w:spacing w:val="-1"/>
                <w:w w:val="105"/>
                <w:sz w:val="16"/>
                <w:szCs w:val="16"/>
              </w:rPr>
              <w:t>0.</w:t>
            </w:r>
            <w:r w:rsidR="00700602" w:rsidRPr="00700602">
              <w:rPr>
                <w:rFonts w:ascii="Arial" w:hAnsi="Arial" w:cs="Arial"/>
                <w:b/>
                <w:color w:val="000000" w:themeColor="text1"/>
                <w:spacing w:val="-1"/>
                <w:w w:val="105"/>
                <w:sz w:val="16"/>
                <w:szCs w:val="16"/>
              </w:rPr>
              <w:t>69</w:t>
            </w:r>
            <w:r w:rsidRPr="00700602">
              <w:rPr>
                <w:rFonts w:ascii="Arial" w:hAnsi="Arial" w:cs="Arial"/>
                <w:b/>
                <w:color w:val="000000" w:themeColor="text1"/>
                <w:spacing w:val="-1"/>
                <w:w w:val="105"/>
                <w:sz w:val="16"/>
                <w:szCs w:val="16"/>
              </w:rPr>
              <w:t>% pa</w:t>
            </w:r>
          </w:p>
        </w:tc>
        <w:tc>
          <w:tcPr>
            <w:tcW w:w="2678" w:type="dxa"/>
            <w:gridSpan w:val="2"/>
            <w:tcBorders>
              <w:top w:val="single" w:sz="8" w:space="0" w:color="000000"/>
              <w:left w:val="single" w:sz="8" w:space="0" w:color="000000"/>
              <w:bottom w:val="single" w:sz="8" w:space="0" w:color="000000"/>
              <w:right w:val="single" w:sz="8" w:space="0" w:color="000000"/>
            </w:tcBorders>
            <w:shd w:val="clear" w:color="auto" w:fill="F1F1F1"/>
          </w:tcPr>
          <w:p w14:paraId="0D2557B6" w14:textId="28B55E5A" w:rsidR="00CF7ED5" w:rsidRPr="002E69BD" w:rsidRDefault="00CF7ED5" w:rsidP="005D4764">
            <w:pPr>
              <w:pStyle w:val="TableParagraph"/>
              <w:spacing w:before="45"/>
              <w:jc w:val="center"/>
              <w:rPr>
                <w:rFonts w:ascii="Arial" w:eastAsia="Source Sans Pro" w:hAnsi="Arial" w:cs="Arial"/>
                <w:color w:val="000000" w:themeColor="text1"/>
                <w:sz w:val="16"/>
                <w:szCs w:val="16"/>
              </w:rPr>
            </w:pPr>
            <w:r w:rsidRPr="002E69BD">
              <w:rPr>
                <w:rFonts w:ascii="Arial" w:hAnsi="Arial" w:cs="Arial"/>
                <w:b/>
                <w:color w:val="000000" w:themeColor="text1"/>
                <w:spacing w:val="-1"/>
                <w:w w:val="105"/>
                <w:sz w:val="16"/>
                <w:szCs w:val="16"/>
              </w:rPr>
              <w:t>Assumed</w:t>
            </w:r>
            <w:r w:rsidRPr="002E69BD">
              <w:rPr>
                <w:rFonts w:ascii="Arial" w:hAnsi="Arial" w:cs="Arial"/>
                <w:b/>
                <w:color w:val="000000" w:themeColor="text1"/>
                <w:spacing w:val="-3"/>
                <w:w w:val="105"/>
                <w:sz w:val="16"/>
                <w:szCs w:val="16"/>
              </w:rPr>
              <w:t xml:space="preserve"> </w:t>
            </w:r>
            <w:r w:rsidRPr="002E69BD">
              <w:rPr>
                <w:rFonts w:ascii="Arial" w:hAnsi="Arial" w:cs="Arial"/>
                <w:b/>
                <w:color w:val="000000" w:themeColor="text1"/>
                <w:spacing w:val="-1"/>
                <w:w w:val="105"/>
                <w:sz w:val="16"/>
                <w:szCs w:val="16"/>
              </w:rPr>
              <w:t>costs</w:t>
            </w:r>
            <w:r w:rsidRPr="002E69BD">
              <w:rPr>
                <w:rFonts w:ascii="Arial" w:hAnsi="Arial" w:cs="Arial"/>
                <w:b/>
                <w:color w:val="000000" w:themeColor="text1"/>
                <w:spacing w:val="-3"/>
                <w:w w:val="105"/>
                <w:sz w:val="16"/>
                <w:szCs w:val="16"/>
              </w:rPr>
              <w:t xml:space="preserve"> </w:t>
            </w:r>
            <w:r w:rsidRPr="002E69BD">
              <w:rPr>
                <w:rFonts w:ascii="Arial" w:hAnsi="Arial" w:cs="Arial"/>
                <w:b/>
                <w:color w:val="000000" w:themeColor="text1"/>
                <w:spacing w:val="-1"/>
                <w:w w:val="105"/>
                <w:sz w:val="16"/>
                <w:szCs w:val="16"/>
              </w:rPr>
              <w:t>and</w:t>
            </w:r>
            <w:r w:rsidRPr="002E69BD">
              <w:rPr>
                <w:rFonts w:ascii="Arial" w:hAnsi="Arial" w:cs="Arial"/>
                <w:b/>
                <w:color w:val="000000" w:themeColor="text1"/>
                <w:spacing w:val="-2"/>
                <w:w w:val="105"/>
                <w:sz w:val="16"/>
                <w:szCs w:val="16"/>
              </w:rPr>
              <w:t xml:space="preserve"> </w:t>
            </w:r>
            <w:r w:rsidRPr="002E69BD">
              <w:rPr>
                <w:rFonts w:ascii="Arial" w:hAnsi="Arial" w:cs="Arial"/>
                <w:b/>
                <w:color w:val="000000" w:themeColor="text1"/>
                <w:spacing w:val="-1"/>
                <w:w w:val="105"/>
                <w:sz w:val="16"/>
                <w:szCs w:val="16"/>
              </w:rPr>
              <w:t>charges</w:t>
            </w:r>
            <w:r w:rsidRPr="002E69BD">
              <w:rPr>
                <w:rFonts w:ascii="Arial" w:hAnsi="Arial" w:cs="Arial"/>
                <w:b/>
                <w:color w:val="000000" w:themeColor="text1"/>
                <w:spacing w:val="18"/>
                <w:w w:val="105"/>
                <w:sz w:val="16"/>
                <w:szCs w:val="16"/>
              </w:rPr>
              <w:t xml:space="preserve"> </w:t>
            </w:r>
            <w:r w:rsidRPr="002E69BD">
              <w:rPr>
                <w:rFonts w:ascii="Arial" w:hAnsi="Arial" w:cs="Arial"/>
                <w:b/>
                <w:color w:val="000000" w:themeColor="text1"/>
                <w:spacing w:val="-1"/>
                <w:w w:val="105"/>
                <w:sz w:val="16"/>
                <w:szCs w:val="16"/>
              </w:rPr>
              <w:t>0.</w:t>
            </w:r>
            <w:r w:rsidR="002E69BD" w:rsidRPr="002E69BD">
              <w:rPr>
                <w:rFonts w:ascii="Arial" w:hAnsi="Arial" w:cs="Arial"/>
                <w:b/>
                <w:color w:val="000000" w:themeColor="text1"/>
                <w:spacing w:val="-1"/>
                <w:w w:val="105"/>
                <w:sz w:val="16"/>
                <w:szCs w:val="16"/>
              </w:rPr>
              <w:t>66</w:t>
            </w:r>
            <w:r w:rsidRPr="002E69BD">
              <w:rPr>
                <w:rFonts w:ascii="Arial" w:hAnsi="Arial" w:cs="Arial"/>
                <w:b/>
                <w:color w:val="000000" w:themeColor="text1"/>
                <w:spacing w:val="-1"/>
                <w:w w:val="105"/>
                <w:sz w:val="16"/>
                <w:szCs w:val="16"/>
              </w:rPr>
              <w:t>% pa</w:t>
            </w:r>
          </w:p>
        </w:tc>
      </w:tr>
      <w:tr w:rsidR="001427F1" w:rsidRPr="001427F1" w14:paraId="17C1A943" w14:textId="77777777" w:rsidTr="008240C8">
        <w:trPr>
          <w:trHeight w:hRule="exact" w:val="1701"/>
        </w:trPr>
        <w:tc>
          <w:tcPr>
            <w:tcW w:w="936" w:type="dxa"/>
            <w:tcBorders>
              <w:top w:val="single" w:sz="8" w:space="0" w:color="000000"/>
              <w:left w:val="single" w:sz="8" w:space="0" w:color="000000"/>
              <w:bottom w:val="single" w:sz="8" w:space="0" w:color="000000"/>
              <w:right w:val="single" w:sz="8" w:space="0" w:color="000000"/>
            </w:tcBorders>
            <w:vAlign w:val="center"/>
          </w:tcPr>
          <w:p w14:paraId="376CF763" w14:textId="77777777" w:rsidR="00CF7ED5" w:rsidRPr="00700602" w:rsidRDefault="00CF7ED5" w:rsidP="005D4764">
            <w:pPr>
              <w:pStyle w:val="TableParagraph"/>
              <w:jc w:val="center"/>
              <w:rPr>
                <w:rFonts w:ascii="Arial" w:eastAsia="Source Sans Pro" w:hAnsi="Arial" w:cs="Arial"/>
                <w:color w:val="000000" w:themeColor="text1"/>
                <w:sz w:val="16"/>
                <w:szCs w:val="16"/>
              </w:rPr>
            </w:pPr>
            <w:r w:rsidRPr="00700602">
              <w:rPr>
                <w:rFonts w:ascii="Arial" w:hAnsi="Arial" w:cs="Arial"/>
                <w:b/>
                <w:color w:val="000000" w:themeColor="text1"/>
                <w:w w:val="105"/>
                <w:sz w:val="16"/>
                <w:szCs w:val="16"/>
              </w:rPr>
              <w:t>At</w:t>
            </w:r>
            <w:r w:rsidRPr="00700602">
              <w:rPr>
                <w:rFonts w:ascii="Arial" w:hAnsi="Arial" w:cs="Arial"/>
                <w:b/>
                <w:color w:val="000000" w:themeColor="text1"/>
                <w:spacing w:val="-4"/>
                <w:w w:val="105"/>
                <w:sz w:val="16"/>
                <w:szCs w:val="16"/>
              </w:rPr>
              <w:t xml:space="preserve"> </w:t>
            </w:r>
            <w:r w:rsidRPr="00700602">
              <w:rPr>
                <w:rFonts w:ascii="Arial" w:hAnsi="Arial" w:cs="Arial"/>
                <w:b/>
                <w:color w:val="000000" w:themeColor="text1"/>
                <w:spacing w:val="-1"/>
                <w:w w:val="105"/>
                <w:sz w:val="16"/>
                <w:szCs w:val="16"/>
              </w:rPr>
              <w:t xml:space="preserve">end </w:t>
            </w:r>
            <w:r w:rsidRPr="00700602">
              <w:rPr>
                <w:rFonts w:ascii="Arial" w:hAnsi="Arial" w:cs="Arial"/>
                <w:b/>
                <w:color w:val="000000" w:themeColor="text1"/>
                <w:w w:val="105"/>
                <w:sz w:val="16"/>
                <w:szCs w:val="16"/>
              </w:rPr>
              <w:t>of</w:t>
            </w:r>
            <w:r w:rsidRPr="00700602">
              <w:rPr>
                <w:rFonts w:ascii="Arial" w:hAnsi="Arial" w:cs="Arial"/>
                <w:b/>
                <w:color w:val="000000" w:themeColor="text1"/>
                <w:spacing w:val="-3"/>
                <w:w w:val="105"/>
                <w:sz w:val="16"/>
                <w:szCs w:val="16"/>
              </w:rPr>
              <w:t xml:space="preserve"> </w:t>
            </w:r>
            <w:r w:rsidRPr="00700602">
              <w:rPr>
                <w:rFonts w:ascii="Arial" w:hAnsi="Arial" w:cs="Arial"/>
                <w:b/>
                <w:color w:val="000000" w:themeColor="text1"/>
                <w:spacing w:val="-1"/>
                <w:w w:val="105"/>
                <w:sz w:val="16"/>
                <w:szCs w:val="16"/>
              </w:rPr>
              <w:t>year</w:t>
            </w:r>
          </w:p>
        </w:tc>
        <w:tc>
          <w:tcPr>
            <w:tcW w:w="1339" w:type="dxa"/>
            <w:tcBorders>
              <w:top w:val="single" w:sz="8" w:space="0" w:color="000000"/>
              <w:left w:val="single" w:sz="8" w:space="0" w:color="000000"/>
              <w:bottom w:val="single" w:sz="8" w:space="0" w:color="000000"/>
              <w:right w:val="single" w:sz="8" w:space="0" w:color="000000"/>
            </w:tcBorders>
          </w:tcPr>
          <w:p w14:paraId="6A5B6482" w14:textId="77777777" w:rsidR="00CF7ED5" w:rsidRPr="00700602" w:rsidRDefault="00CF7ED5" w:rsidP="005D4764">
            <w:pPr>
              <w:pStyle w:val="TableParagraph"/>
              <w:spacing w:before="76" w:line="287" w:lineRule="auto"/>
              <w:ind w:left="61" w:right="55"/>
              <w:jc w:val="center"/>
              <w:rPr>
                <w:rFonts w:ascii="Arial" w:eastAsia="Source Sans Pro" w:hAnsi="Arial" w:cs="Arial"/>
                <w:color w:val="000000" w:themeColor="text1"/>
                <w:sz w:val="16"/>
                <w:szCs w:val="16"/>
              </w:rPr>
            </w:pPr>
            <w:r w:rsidRPr="00700602">
              <w:rPr>
                <w:rFonts w:ascii="Arial" w:hAnsi="Arial" w:cs="Arial"/>
                <w:b/>
                <w:color w:val="000000" w:themeColor="text1"/>
                <w:spacing w:val="-1"/>
                <w:w w:val="105"/>
                <w:sz w:val="16"/>
                <w:szCs w:val="16"/>
              </w:rPr>
              <w:t>Projected</w:t>
            </w:r>
            <w:r w:rsidRPr="00700602">
              <w:rPr>
                <w:rFonts w:ascii="Arial" w:hAnsi="Arial" w:cs="Arial"/>
                <w:b/>
                <w:color w:val="000000" w:themeColor="text1"/>
                <w:spacing w:val="-6"/>
                <w:w w:val="105"/>
                <w:sz w:val="16"/>
                <w:szCs w:val="16"/>
              </w:rPr>
              <w:t xml:space="preserve"> </w:t>
            </w:r>
            <w:r w:rsidRPr="00700602">
              <w:rPr>
                <w:rFonts w:ascii="Arial" w:hAnsi="Arial" w:cs="Arial"/>
                <w:b/>
                <w:color w:val="000000" w:themeColor="text1"/>
                <w:spacing w:val="-1"/>
                <w:w w:val="105"/>
                <w:sz w:val="16"/>
                <w:szCs w:val="16"/>
              </w:rPr>
              <w:t>value</w:t>
            </w:r>
            <w:r w:rsidRPr="00700602">
              <w:rPr>
                <w:rFonts w:ascii="Arial" w:hAnsi="Arial" w:cs="Arial"/>
                <w:b/>
                <w:color w:val="000000" w:themeColor="text1"/>
                <w:spacing w:val="29"/>
                <w:w w:val="104"/>
                <w:sz w:val="16"/>
                <w:szCs w:val="16"/>
              </w:rPr>
              <w:t xml:space="preserve"> in today’s money </w:t>
            </w:r>
            <w:r w:rsidRPr="00700602">
              <w:rPr>
                <w:rFonts w:ascii="Arial" w:hAnsi="Arial" w:cs="Arial"/>
                <w:b/>
                <w:color w:val="000000" w:themeColor="text1"/>
                <w:spacing w:val="-1"/>
                <w:w w:val="105"/>
                <w:sz w:val="16"/>
                <w:szCs w:val="16"/>
              </w:rPr>
              <w:t>assuming</w:t>
            </w:r>
            <w:r w:rsidRPr="00700602">
              <w:rPr>
                <w:rFonts w:ascii="Arial" w:hAnsi="Arial" w:cs="Arial"/>
                <w:b/>
                <w:color w:val="000000" w:themeColor="text1"/>
                <w:spacing w:val="-5"/>
                <w:w w:val="105"/>
                <w:sz w:val="16"/>
                <w:szCs w:val="16"/>
              </w:rPr>
              <w:t xml:space="preserve"> </w:t>
            </w:r>
            <w:r w:rsidRPr="00700602">
              <w:rPr>
                <w:rFonts w:ascii="Arial" w:hAnsi="Arial" w:cs="Arial"/>
                <w:b/>
                <w:color w:val="000000" w:themeColor="text1"/>
                <w:spacing w:val="-1"/>
                <w:w w:val="105"/>
                <w:sz w:val="16"/>
                <w:szCs w:val="16"/>
              </w:rPr>
              <w:t>no</w:t>
            </w:r>
            <w:r w:rsidRPr="00700602">
              <w:rPr>
                <w:rFonts w:ascii="Arial" w:hAnsi="Arial" w:cs="Arial"/>
                <w:b/>
                <w:color w:val="000000" w:themeColor="text1"/>
                <w:spacing w:val="22"/>
                <w:w w:val="104"/>
                <w:sz w:val="16"/>
                <w:szCs w:val="16"/>
              </w:rPr>
              <w:t xml:space="preserve"> </w:t>
            </w:r>
            <w:r w:rsidRPr="00700602">
              <w:rPr>
                <w:rFonts w:ascii="Arial" w:hAnsi="Arial" w:cs="Arial"/>
                <w:b/>
                <w:color w:val="000000" w:themeColor="text1"/>
                <w:spacing w:val="-1"/>
                <w:w w:val="105"/>
                <w:sz w:val="16"/>
                <w:szCs w:val="16"/>
              </w:rPr>
              <w:t>charges</w:t>
            </w:r>
            <w:r w:rsidRPr="00700602">
              <w:rPr>
                <w:rFonts w:ascii="Arial" w:hAnsi="Arial" w:cs="Arial"/>
                <w:b/>
                <w:color w:val="000000" w:themeColor="text1"/>
                <w:spacing w:val="-6"/>
                <w:w w:val="105"/>
                <w:sz w:val="16"/>
                <w:szCs w:val="16"/>
              </w:rPr>
              <w:t xml:space="preserve"> </w:t>
            </w:r>
            <w:r w:rsidRPr="00700602">
              <w:rPr>
                <w:rFonts w:ascii="Arial" w:hAnsi="Arial" w:cs="Arial"/>
                <w:b/>
                <w:color w:val="000000" w:themeColor="text1"/>
                <w:spacing w:val="-1"/>
                <w:w w:val="105"/>
                <w:sz w:val="16"/>
                <w:szCs w:val="16"/>
              </w:rPr>
              <w:t>are</w:t>
            </w:r>
            <w:r w:rsidRPr="00700602">
              <w:rPr>
                <w:rFonts w:ascii="Arial" w:hAnsi="Arial" w:cs="Arial"/>
                <w:b/>
                <w:color w:val="000000" w:themeColor="text1"/>
                <w:spacing w:val="25"/>
                <w:w w:val="104"/>
                <w:sz w:val="16"/>
                <w:szCs w:val="16"/>
              </w:rPr>
              <w:t xml:space="preserve"> </w:t>
            </w:r>
            <w:r w:rsidRPr="00700602">
              <w:rPr>
                <w:rFonts w:ascii="Arial" w:hAnsi="Arial" w:cs="Arial"/>
                <w:b/>
                <w:color w:val="000000" w:themeColor="text1"/>
                <w:spacing w:val="-1"/>
                <w:w w:val="105"/>
                <w:sz w:val="16"/>
                <w:szCs w:val="16"/>
              </w:rPr>
              <w:t>taken</w:t>
            </w:r>
          </w:p>
        </w:tc>
        <w:tc>
          <w:tcPr>
            <w:tcW w:w="1339" w:type="dxa"/>
            <w:tcBorders>
              <w:top w:val="single" w:sz="8" w:space="0" w:color="000000"/>
              <w:left w:val="single" w:sz="8" w:space="0" w:color="000000"/>
              <w:bottom w:val="single" w:sz="8" w:space="0" w:color="000000"/>
              <w:right w:val="single" w:sz="8" w:space="0" w:color="000000"/>
            </w:tcBorders>
          </w:tcPr>
          <w:p w14:paraId="4F2BBD5F" w14:textId="77777777" w:rsidR="00CF7ED5" w:rsidRPr="00700602" w:rsidRDefault="00CF7ED5" w:rsidP="005D4764">
            <w:pPr>
              <w:pStyle w:val="TableParagraph"/>
              <w:spacing w:before="76" w:line="287" w:lineRule="auto"/>
              <w:ind w:left="61" w:right="55"/>
              <w:jc w:val="center"/>
              <w:rPr>
                <w:rFonts w:ascii="Arial" w:eastAsia="Source Sans Pro" w:hAnsi="Arial" w:cs="Arial"/>
                <w:color w:val="000000" w:themeColor="text1"/>
                <w:sz w:val="16"/>
                <w:szCs w:val="16"/>
              </w:rPr>
            </w:pPr>
            <w:r w:rsidRPr="00700602">
              <w:rPr>
                <w:rFonts w:ascii="Arial" w:hAnsi="Arial" w:cs="Arial"/>
                <w:b/>
                <w:color w:val="000000" w:themeColor="text1"/>
                <w:spacing w:val="-1"/>
                <w:w w:val="105"/>
                <w:sz w:val="16"/>
                <w:szCs w:val="16"/>
              </w:rPr>
              <w:t>Projected</w:t>
            </w:r>
            <w:r w:rsidRPr="00700602">
              <w:rPr>
                <w:rFonts w:ascii="Arial" w:hAnsi="Arial" w:cs="Arial"/>
                <w:b/>
                <w:color w:val="000000" w:themeColor="text1"/>
                <w:spacing w:val="-6"/>
                <w:w w:val="105"/>
                <w:sz w:val="16"/>
                <w:szCs w:val="16"/>
              </w:rPr>
              <w:t xml:space="preserve"> </w:t>
            </w:r>
            <w:r w:rsidRPr="00700602">
              <w:rPr>
                <w:rFonts w:ascii="Arial" w:hAnsi="Arial" w:cs="Arial"/>
                <w:b/>
                <w:color w:val="000000" w:themeColor="text1"/>
                <w:spacing w:val="-1"/>
                <w:w w:val="105"/>
                <w:sz w:val="16"/>
                <w:szCs w:val="16"/>
              </w:rPr>
              <w:t>value</w:t>
            </w:r>
            <w:r w:rsidRPr="00700602">
              <w:rPr>
                <w:rFonts w:ascii="Arial" w:hAnsi="Arial" w:cs="Arial"/>
                <w:b/>
                <w:color w:val="000000" w:themeColor="text1"/>
                <w:spacing w:val="29"/>
                <w:w w:val="104"/>
                <w:sz w:val="16"/>
                <w:szCs w:val="16"/>
              </w:rPr>
              <w:t xml:space="preserve"> in today’s money </w:t>
            </w:r>
            <w:r w:rsidRPr="00700602">
              <w:rPr>
                <w:rFonts w:ascii="Arial" w:hAnsi="Arial" w:cs="Arial"/>
                <w:b/>
                <w:color w:val="000000" w:themeColor="text1"/>
                <w:spacing w:val="-1"/>
                <w:w w:val="105"/>
                <w:sz w:val="16"/>
                <w:szCs w:val="16"/>
              </w:rPr>
              <w:t>after</w:t>
            </w:r>
            <w:r w:rsidRPr="00700602">
              <w:rPr>
                <w:rFonts w:ascii="Arial" w:hAnsi="Arial" w:cs="Arial"/>
                <w:b/>
                <w:color w:val="000000" w:themeColor="text1"/>
                <w:spacing w:val="-4"/>
                <w:w w:val="105"/>
                <w:sz w:val="16"/>
                <w:szCs w:val="16"/>
              </w:rPr>
              <w:t xml:space="preserve"> </w:t>
            </w:r>
            <w:r w:rsidRPr="00700602">
              <w:rPr>
                <w:rFonts w:ascii="Arial" w:hAnsi="Arial" w:cs="Arial"/>
                <w:b/>
                <w:color w:val="000000" w:themeColor="text1"/>
                <w:spacing w:val="-1"/>
                <w:w w:val="105"/>
                <w:sz w:val="16"/>
                <w:szCs w:val="16"/>
              </w:rPr>
              <w:t>costs</w:t>
            </w:r>
            <w:r w:rsidRPr="00700602">
              <w:rPr>
                <w:rFonts w:ascii="Arial" w:hAnsi="Arial" w:cs="Arial"/>
                <w:b/>
                <w:color w:val="000000" w:themeColor="text1"/>
                <w:spacing w:val="-3"/>
                <w:w w:val="105"/>
                <w:sz w:val="16"/>
                <w:szCs w:val="16"/>
              </w:rPr>
              <w:t xml:space="preserve"> </w:t>
            </w:r>
            <w:r w:rsidRPr="00700602">
              <w:rPr>
                <w:rFonts w:ascii="Arial" w:hAnsi="Arial" w:cs="Arial"/>
                <w:b/>
                <w:color w:val="000000" w:themeColor="text1"/>
                <w:spacing w:val="-1"/>
                <w:w w:val="105"/>
                <w:sz w:val="16"/>
                <w:szCs w:val="16"/>
              </w:rPr>
              <w:t>and</w:t>
            </w:r>
            <w:r w:rsidRPr="00700602">
              <w:rPr>
                <w:rFonts w:ascii="Arial" w:hAnsi="Arial" w:cs="Arial"/>
                <w:b/>
                <w:color w:val="000000" w:themeColor="text1"/>
                <w:spacing w:val="24"/>
                <w:w w:val="104"/>
                <w:sz w:val="16"/>
                <w:szCs w:val="16"/>
              </w:rPr>
              <w:t xml:space="preserve"> </w:t>
            </w:r>
            <w:r w:rsidRPr="00700602">
              <w:rPr>
                <w:rFonts w:ascii="Arial" w:hAnsi="Arial" w:cs="Arial"/>
                <w:b/>
                <w:color w:val="000000" w:themeColor="text1"/>
                <w:spacing w:val="-1"/>
                <w:w w:val="105"/>
                <w:sz w:val="16"/>
                <w:szCs w:val="16"/>
              </w:rPr>
              <w:t>charges</w:t>
            </w:r>
            <w:r w:rsidRPr="00700602">
              <w:rPr>
                <w:rFonts w:ascii="Arial" w:hAnsi="Arial" w:cs="Arial"/>
                <w:b/>
                <w:color w:val="000000" w:themeColor="text1"/>
                <w:spacing w:val="-6"/>
                <w:w w:val="105"/>
                <w:sz w:val="16"/>
                <w:szCs w:val="16"/>
              </w:rPr>
              <w:t xml:space="preserve"> </w:t>
            </w:r>
            <w:r w:rsidRPr="00700602">
              <w:rPr>
                <w:rFonts w:ascii="Arial" w:hAnsi="Arial" w:cs="Arial"/>
                <w:b/>
                <w:color w:val="000000" w:themeColor="text1"/>
                <w:spacing w:val="-1"/>
                <w:w w:val="105"/>
                <w:sz w:val="16"/>
                <w:szCs w:val="16"/>
              </w:rPr>
              <w:t>are</w:t>
            </w:r>
            <w:r w:rsidRPr="00700602">
              <w:rPr>
                <w:rFonts w:ascii="Arial" w:hAnsi="Arial" w:cs="Arial"/>
                <w:b/>
                <w:color w:val="000000" w:themeColor="text1"/>
                <w:spacing w:val="25"/>
                <w:w w:val="104"/>
                <w:sz w:val="16"/>
                <w:szCs w:val="16"/>
              </w:rPr>
              <w:t xml:space="preserve"> </w:t>
            </w:r>
            <w:r w:rsidRPr="00700602">
              <w:rPr>
                <w:rFonts w:ascii="Arial" w:hAnsi="Arial" w:cs="Arial"/>
                <w:b/>
                <w:color w:val="000000" w:themeColor="text1"/>
                <w:spacing w:val="-1"/>
                <w:w w:val="105"/>
                <w:sz w:val="16"/>
                <w:szCs w:val="16"/>
              </w:rPr>
              <w:t>taken</w:t>
            </w:r>
          </w:p>
        </w:tc>
        <w:tc>
          <w:tcPr>
            <w:tcW w:w="1339" w:type="dxa"/>
            <w:tcBorders>
              <w:top w:val="single" w:sz="8" w:space="0" w:color="000000"/>
              <w:left w:val="single" w:sz="8" w:space="0" w:color="000000"/>
              <w:bottom w:val="single" w:sz="8" w:space="0" w:color="000000"/>
              <w:right w:val="single" w:sz="8" w:space="0" w:color="000000"/>
            </w:tcBorders>
          </w:tcPr>
          <w:p w14:paraId="5C0CBFCD" w14:textId="77777777" w:rsidR="00CF7ED5" w:rsidRPr="00700602" w:rsidRDefault="00CF7ED5" w:rsidP="005D4764">
            <w:pPr>
              <w:pStyle w:val="TableParagraph"/>
              <w:spacing w:before="76" w:line="287" w:lineRule="auto"/>
              <w:ind w:left="61" w:right="56"/>
              <w:jc w:val="center"/>
              <w:rPr>
                <w:rFonts w:ascii="Arial" w:eastAsia="Source Sans Pro" w:hAnsi="Arial" w:cs="Arial"/>
                <w:color w:val="000000" w:themeColor="text1"/>
                <w:sz w:val="16"/>
                <w:szCs w:val="16"/>
              </w:rPr>
            </w:pPr>
            <w:r w:rsidRPr="00700602">
              <w:rPr>
                <w:rFonts w:ascii="Arial" w:hAnsi="Arial" w:cs="Arial"/>
                <w:b/>
                <w:color w:val="000000" w:themeColor="text1"/>
                <w:spacing w:val="-1"/>
                <w:w w:val="105"/>
                <w:sz w:val="16"/>
                <w:szCs w:val="16"/>
              </w:rPr>
              <w:t>Projected</w:t>
            </w:r>
            <w:r w:rsidRPr="00700602">
              <w:rPr>
                <w:rFonts w:ascii="Arial" w:hAnsi="Arial" w:cs="Arial"/>
                <w:b/>
                <w:color w:val="000000" w:themeColor="text1"/>
                <w:spacing w:val="-6"/>
                <w:w w:val="105"/>
                <w:sz w:val="16"/>
                <w:szCs w:val="16"/>
              </w:rPr>
              <w:t xml:space="preserve"> </w:t>
            </w:r>
            <w:r w:rsidRPr="00700602">
              <w:rPr>
                <w:rFonts w:ascii="Arial" w:hAnsi="Arial" w:cs="Arial"/>
                <w:b/>
                <w:color w:val="000000" w:themeColor="text1"/>
                <w:spacing w:val="-1"/>
                <w:w w:val="105"/>
                <w:sz w:val="16"/>
                <w:szCs w:val="16"/>
              </w:rPr>
              <w:t>value</w:t>
            </w:r>
            <w:r w:rsidRPr="00700602">
              <w:rPr>
                <w:rFonts w:ascii="Arial" w:hAnsi="Arial" w:cs="Arial"/>
                <w:b/>
                <w:color w:val="000000" w:themeColor="text1"/>
                <w:spacing w:val="29"/>
                <w:w w:val="104"/>
                <w:sz w:val="16"/>
                <w:szCs w:val="16"/>
              </w:rPr>
              <w:t xml:space="preserve"> in today’s money </w:t>
            </w:r>
            <w:r w:rsidRPr="00700602">
              <w:rPr>
                <w:rFonts w:ascii="Arial" w:hAnsi="Arial" w:cs="Arial"/>
                <w:b/>
                <w:color w:val="000000" w:themeColor="text1"/>
                <w:spacing w:val="-1"/>
                <w:w w:val="105"/>
                <w:sz w:val="16"/>
                <w:szCs w:val="16"/>
              </w:rPr>
              <w:t>assuming</w:t>
            </w:r>
            <w:r w:rsidRPr="00700602">
              <w:rPr>
                <w:rFonts w:ascii="Arial" w:hAnsi="Arial" w:cs="Arial"/>
                <w:b/>
                <w:color w:val="000000" w:themeColor="text1"/>
                <w:spacing w:val="-5"/>
                <w:w w:val="105"/>
                <w:sz w:val="16"/>
                <w:szCs w:val="16"/>
              </w:rPr>
              <w:t xml:space="preserve"> </w:t>
            </w:r>
            <w:r w:rsidRPr="00700602">
              <w:rPr>
                <w:rFonts w:ascii="Arial" w:hAnsi="Arial" w:cs="Arial"/>
                <w:b/>
                <w:color w:val="000000" w:themeColor="text1"/>
                <w:spacing w:val="-1"/>
                <w:w w:val="105"/>
                <w:sz w:val="16"/>
                <w:szCs w:val="16"/>
              </w:rPr>
              <w:t>no</w:t>
            </w:r>
            <w:r w:rsidRPr="00700602">
              <w:rPr>
                <w:rFonts w:ascii="Arial" w:hAnsi="Arial" w:cs="Arial"/>
                <w:b/>
                <w:color w:val="000000" w:themeColor="text1"/>
                <w:spacing w:val="22"/>
                <w:w w:val="104"/>
                <w:sz w:val="16"/>
                <w:szCs w:val="16"/>
              </w:rPr>
              <w:t xml:space="preserve"> </w:t>
            </w:r>
            <w:r w:rsidRPr="00700602">
              <w:rPr>
                <w:rFonts w:ascii="Arial" w:hAnsi="Arial" w:cs="Arial"/>
                <w:b/>
                <w:color w:val="000000" w:themeColor="text1"/>
                <w:spacing w:val="-1"/>
                <w:w w:val="105"/>
                <w:sz w:val="16"/>
                <w:szCs w:val="16"/>
              </w:rPr>
              <w:t>charges</w:t>
            </w:r>
            <w:r w:rsidRPr="00700602">
              <w:rPr>
                <w:rFonts w:ascii="Arial" w:hAnsi="Arial" w:cs="Arial"/>
                <w:b/>
                <w:color w:val="000000" w:themeColor="text1"/>
                <w:spacing w:val="-6"/>
                <w:w w:val="105"/>
                <w:sz w:val="16"/>
                <w:szCs w:val="16"/>
              </w:rPr>
              <w:t xml:space="preserve"> </w:t>
            </w:r>
            <w:r w:rsidRPr="00700602">
              <w:rPr>
                <w:rFonts w:ascii="Arial" w:hAnsi="Arial" w:cs="Arial"/>
                <w:b/>
                <w:color w:val="000000" w:themeColor="text1"/>
                <w:spacing w:val="-1"/>
                <w:w w:val="105"/>
                <w:sz w:val="16"/>
                <w:szCs w:val="16"/>
              </w:rPr>
              <w:t>are</w:t>
            </w:r>
            <w:r w:rsidRPr="00700602">
              <w:rPr>
                <w:rFonts w:ascii="Arial" w:hAnsi="Arial" w:cs="Arial"/>
                <w:b/>
                <w:color w:val="000000" w:themeColor="text1"/>
                <w:spacing w:val="25"/>
                <w:w w:val="104"/>
                <w:sz w:val="16"/>
                <w:szCs w:val="16"/>
              </w:rPr>
              <w:t xml:space="preserve"> </w:t>
            </w:r>
            <w:r w:rsidRPr="00700602">
              <w:rPr>
                <w:rFonts w:ascii="Arial" w:hAnsi="Arial" w:cs="Arial"/>
                <w:b/>
                <w:color w:val="000000" w:themeColor="text1"/>
                <w:spacing w:val="-1"/>
                <w:w w:val="105"/>
                <w:sz w:val="16"/>
                <w:szCs w:val="16"/>
              </w:rPr>
              <w:t>taken</w:t>
            </w:r>
          </w:p>
        </w:tc>
        <w:tc>
          <w:tcPr>
            <w:tcW w:w="1339" w:type="dxa"/>
            <w:tcBorders>
              <w:top w:val="single" w:sz="8" w:space="0" w:color="000000"/>
              <w:left w:val="single" w:sz="8" w:space="0" w:color="000000"/>
              <w:bottom w:val="single" w:sz="8" w:space="0" w:color="000000"/>
              <w:right w:val="single" w:sz="8" w:space="0" w:color="000000"/>
            </w:tcBorders>
          </w:tcPr>
          <w:p w14:paraId="7026F097" w14:textId="77777777" w:rsidR="00CF7ED5" w:rsidRPr="00700602" w:rsidRDefault="00CF7ED5" w:rsidP="005D4764">
            <w:pPr>
              <w:pStyle w:val="TableParagraph"/>
              <w:spacing w:before="76" w:line="287" w:lineRule="auto"/>
              <w:ind w:left="61" w:right="55"/>
              <w:jc w:val="center"/>
              <w:rPr>
                <w:rFonts w:ascii="Arial" w:eastAsia="Source Sans Pro" w:hAnsi="Arial" w:cs="Arial"/>
                <w:color w:val="000000" w:themeColor="text1"/>
                <w:sz w:val="16"/>
                <w:szCs w:val="16"/>
              </w:rPr>
            </w:pPr>
            <w:r w:rsidRPr="00700602">
              <w:rPr>
                <w:rFonts w:ascii="Arial" w:hAnsi="Arial" w:cs="Arial"/>
                <w:b/>
                <w:color w:val="000000" w:themeColor="text1"/>
                <w:spacing w:val="-1"/>
                <w:w w:val="105"/>
                <w:sz w:val="16"/>
                <w:szCs w:val="16"/>
              </w:rPr>
              <w:t>Projected</w:t>
            </w:r>
            <w:r w:rsidRPr="00700602">
              <w:rPr>
                <w:rFonts w:ascii="Arial" w:hAnsi="Arial" w:cs="Arial"/>
                <w:b/>
                <w:color w:val="000000" w:themeColor="text1"/>
                <w:spacing w:val="-6"/>
                <w:w w:val="105"/>
                <w:sz w:val="16"/>
                <w:szCs w:val="16"/>
              </w:rPr>
              <w:t xml:space="preserve"> </w:t>
            </w:r>
            <w:r w:rsidRPr="00700602">
              <w:rPr>
                <w:rFonts w:ascii="Arial" w:hAnsi="Arial" w:cs="Arial"/>
                <w:b/>
                <w:color w:val="000000" w:themeColor="text1"/>
                <w:spacing w:val="-1"/>
                <w:w w:val="105"/>
                <w:sz w:val="16"/>
                <w:szCs w:val="16"/>
              </w:rPr>
              <w:t>value</w:t>
            </w:r>
            <w:r w:rsidRPr="00700602">
              <w:rPr>
                <w:rFonts w:ascii="Arial" w:hAnsi="Arial" w:cs="Arial"/>
                <w:b/>
                <w:color w:val="000000" w:themeColor="text1"/>
                <w:spacing w:val="29"/>
                <w:w w:val="104"/>
                <w:sz w:val="16"/>
                <w:szCs w:val="16"/>
              </w:rPr>
              <w:t xml:space="preserve"> in today’s money </w:t>
            </w:r>
            <w:r w:rsidRPr="00700602">
              <w:rPr>
                <w:rFonts w:ascii="Arial" w:hAnsi="Arial" w:cs="Arial"/>
                <w:b/>
                <w:color w:val="000000" w:themeColor="text1"/>
                <w:spacing w:val="-1"/>
                <w:w w:val="105"/>
                <w:sz w:val="16"/>
                <w:szCs w:val="16"/>
              </w:rPr>
              <w:t>after</w:t>
            </w:r>
            <w:r w:rsidRPr="00700602">
              <w:rPr>
                <w:rFonts w:ascii="Arial" w:hAnsi="Arial" w:cs="Arial"/>
                <w:b/>
                <w:color w:val="000000" w:themeColor="text1"/>
                <w:spacing w:val="-4"/>
                <w:w w:val="105"/>
                <w:sz w:val="16"/>
                <w:szCs w:val="16"/>
              </w:rPr>
              <w:t xml:space="preserve"> </w:t>
            </w:r>
            <w:r w:rsidRPr="00700602">
              <w:rPr>
                <w:rFonts w:ascii="Arial" w:hAnsi="Arial" w:cs="Arial"/>
                <w:b/>
                <w:color w:val="000000" w:themeColor="text1"/>
                <w:spacing w:val="-1"/>
                <w:w w:val="105"/>
                <w:sz w:val="16"/>
                <w:szCs w:val="16"/>
              </w:rPr>
              <w:t>costs</w:t>
            </w:r>
            <w:r w:rsidRPr="00700602">
              <w:rPr>
                <w:rFonts w:ascii="Arial" w:hAnsi="Arial" w:cs="Arial"/>
                <w:b/>
                <w:color w:val="000000" w:themeColor="text1"/>
                <w:spacing w:val="-3"/>
                <w:w w:val="105"/>
                <w:sz w:val="16"/>
                <w:szCs w:val="16"/>
              </w:rPr>
              <w:t xml:space="preserve"> </w:t>
            </w:r>
            <w:r w:rsidRPr="00700602">
              <w:rPr>
                <w:rFonts w:ascii="Arial" w:hAnsi="Arial" w:cs="Arial"/>
                <w:b/>
                <w:color w:val="000000" w:themeColor="text1"/>
                <w:spacing w:val="-1"/>
                <w:w w:val="105"/>
                <w:sz w:val="16"/>
                <w:szCs w:val="16"/>
              </w:rPr>
              <w:t>and</w:t>
            </w:r>
            <w:r w:rsidRPr="00700602">
              <w:rPr>
                <w:rFonts w:ascii="Arial" w:hAnsi="Arial" w:cs="Arial"/>
                <w:b/>
                <w:color w:val="000000" w:themeColor="text1"/>
                <w:spacing w:val="24"/>
                <w:w w:val="104"/>
                <w:sz w:val="16"/>
                <w:szCs w:val="16"/>
              </w:rPr>
              <w:t xml:space="preserve"> </w:t>
            </w:r>
            <w:r w:rsidRPr="00700602">
              <w:rPr>
                <w:rFonts w:ascii="Arial" w:hAnsi="Arial" w:cs="Arial"/>
                <w:b/>
                <w:color w:val="000000" w:themeColor="text1"/>
                <w:spacing w:val="-1"/>
                <w:w w:val="105"/>
                <w:sz w:val="16"/>
                <w:szCs w:val="16"/>
              </w:rPr>
              <w:t>charges</w:t>
            </w:r>
            <w:r w:rsidRPr="00700602">
              <w:rPr>
                <w:rFonts w:ascii="Arial" w:hAnsi="Arial" w:cs="Arial"/>
                <w:b/>
                <w:color w:val="000000" w:themeColor="text1"/>
                <w:spacing w:val="-6"/>
                <w:w w:val="105"/>
                <w:sz w:val="16"/>
                <w:szCs w:val="16"/>
              </w:rPr>
              <w:t xml:space="preserve"> </w:t>
            </w:r>
            <w:r w:rsidRPr="00700602">
              <w:rPr>
                <w:rFonts w:ascii="Arial" w:hAnsi="Arial" w:cs="Arial"/>
                <w:b/>
                <w:color w:val="000000" w:themeColor="text1"/>
                <w:spacing w:val="-1"/>
                <w:w w:val="105"/>
                <w:sz w:val="16"/>
                <w:szCs w:val="16"/>
              </w:rPr>
              <w:t>are</w:t>
            </w:r>
            <w:r w:rsidRPr="00700602">
              <w:rPr>
                <w:rFonts w:ascii="Arial" w:hAnsi="Arial" w:cs="Arial"/>
                <w:b/>
                <w:color w:val="000000" w:themeColor="text1"/>
                <w:spacing w:val="25"/>
                <w:w w:val="104"/>
                <w:sz w:val="16"/>
                <w:szCs w:val="16"/>
              </w:rPr>
              <w:t xml:space="preserve"> </w:t>
            </w:r>
            <w:r w:rsidRPr="00700602">
              <w:rPr>
                <w:rFonts w:ascii="Arial" w:hAnsi="Arial" w:cs="Arial"/>
                <w:b/>
                <w:color w:val="000000" w:themeColor="text1"/>
                <w:spacing w:val="-1"/>
                <w:w w:val="105"/>
                <w:sz w:val="16"/>
                <w:szCs w:val="16"/>
              </w:rPr>
              <w:t>taken</w:t>
            </w:r>
          </w:p>
        </w:tc>
        <w:tc>
          <w:tcPr>
            <w:tcW w:w="1339" w:type="dxa"/>
            <w:tcBorders>
              <w:top w:val="single" w:sz="8" w:space="0" w:color="000000"/>
              <w:left w:val="single" w:sz="8" w:space="0" w:color="000000"/>
              <w:bottom w:val="single" w:sz="8" w:space="0" w:color="000000"/>
              <w:right w:val="single" w:sz="8" w:space="0" w:color="000000"/>
            </w:tcBorders>
          </w:tcPr>
          <w:p w14:paraId="20E8B7E2" w14:textId="77777777" w:rsidR="00CF7ED5" w:rsidRPr="00700602" w:rsidRDefault="00CF7ED5" w:rsidP="005D4764">
            <w:pPr>
              <w:pStyle w:val="TableParagraph"/>
              <w:spacing w:before="76" w:line="287" w:lineRule="auto"/>
              <w:ind w:left="61" w:right="55"/>
              <w:jc w:val="center"/>
              <w:rPr>
                <w:rFonts w:ascii="Arial" w:eastAsia="Source Sans Pro" w:hAnsi="Arial" w:cs="Arial"/>
                <w:color w:val="000000" w:themeColor="text1"/>
                <w:sz w:val="16"/>
                <w:szCs w:val="16"/>
              </w:rPr>
            </w:pPr>
            <w:r w:rsidRPr="00700602">
              <w:rPr>
                <w:rFonts w:ascii="Arial" w:hAnsi="Arial" w:cs="Arial"/>
                <w:b/>
                <w:color w:val="000000" w:themeColor="text1"/>
                <w:spacing w:val="-1"/>
                <w:w w:val="105"/>
                <w:sz w:val="16"/>
                <w:szCs w:val="16"/>
              </w:rPr>
              <w:t>Projected</w:t>
            </w:r>
            <w:r w:rsidRPr="00700602">
              <w:rPr>
                <w:rFonts w:ascii="Arial" w:hAnsi="Arial" w:cs="Arial"/>
                <w:b/>
                <w:color w:val="000000" w:themeColor="text1"/>
                <w:spacing w:val="-6"/>
                <w:w w:val="105"/>
                <w:sz w:val="16"/>
                <w:szCs w:val="16"/>
              </w:rPr>
              <w:t xml:space="preserve"> </w:t>
            </w:r>
            <w:r w:rsidRPr="00700602">
              <w:rPr>
                <w:rFonts w:ascii="Arial" w:hAnsi="Arial" w:cs="Arial"/>
                <w:b/>
                <w:color w:val="000000" w:themeColor="text1"/>
                <w:spacing w:val="-1"/>
                <w:w w:val="105"/>
                <w:sz w:val="16"/>
                <w:szCs w:val="16"/>
              </w:rPr>
              <w:t>value</w:t>
            </w:r>
            <w:r w:rsidRPr="00700602">
              <w:rPr>
                <w:rFonts w:ascii="Arial" w:hAnsi="Arial" w:cs="Arial"/>
                <w:b/>
                <w:color w:val="000000" w:themeColor="text1"/>
                <w:spacing w:val="29"/>
                <w:w w:val="104"/>
                <w:sz w:val="16"/>
                <w:szCs w:val="16"/>
              </w:rPr>
              <w:t xml:space="preserve"> in today’s money </w:t>
            </w:r>
            <w:r w:rsidRPr="00700602">
              <w:rPr>
                <w:rFonts w:ascii="Arial" w:hAnsi="Arial" w:cs="Arial"/>
                <w:b/>
                <w:color w:val="000000" w:themeColor="text1"/>
                <w:spacing w:val="-1"/>
                <w:w w:val="105"/>
                <w:sz w:val="16"/>
                <w:szCs w:val="16"/>
              </w:rPr>
              <w:t>assuming</w:t>
            </w:r>
            <w:r w:rsidRPr="00700602">
              <w:rPr>
                <w:rFonts w:ascii="Arial" w:hAnsi="Arial" w:cs="Arial"/>
                <w:b/>
                <w:color w:val="000000" w:themeColor="text1"/>
                <w:spacing w:val="-5"/>
                <w:w w:val="105"/>
                <w:sz w:val="16"/>
                <w:szCs w:val="16"/>
              </w:rPr>
              <w:t xml:space="preserve"> </w:t>
            </w:r>
            <w:r w:rsidRPr="00700602">
              <w:rPr>
                <w:rFonts w:ascii="Arial" w:hAnsi="Arial" w:cs="Arial"/>
                <w:b/>
                <w:color w:val="000000" w:themeColor="text1"/>
                <w:spacing w:val="-1"/>
                <w:w w:val="105"/>
                <w:sz w:val="16"/>
                <w:szCs w:val="16"/>
              </w:rPr>
              <w:t>no</w:t>
            </w:r>
            <w:r w:rsidRPr="00700602">
              <w:rPr>
                <w:rFonts w:ascii="Arial" w:hAnsi="Arial" w:cs="Arial"/>
                <w:b/>
                <w:color w:val="000000" w:themeColor="text1"/>
                <w:spacing w:val="22"/>
                <w:w w:val="104"/>
                <w:sz w:val="16"/>
                <w:szCs w:val="16"/>
              </w:rPr>
              <w:t xml:space="preserve"> </w:t>
            </w:r>
            <w:r w:rsidRPr="00700602">
              <w:rPr>
                <w:rFonts w:ascii="Arial" w:hAnsi="Arial" w:cs="Arial"/>
                <w:b/>
                <w:color w:val="000000" w:themeColor="text1"/>
                <w:spacing w:val="-1"/>
                <w:w w:val="105"/>
                <w:sz w:val="16"/>
                <w:szCs w:val="16"/>
              </w:rPr>
              <w:t>charges</w:t>
            </w:r>
            <w:r w:rsidRPr="00700602">
              <w:rPr>
                <w:rFonts w:ascii="Arial" w:hAnsi="Arial" w:cs="Arial"/>
                <w:b/>
                <w:color w:val="000000" w:themeColor="text1"/>
                <w:spacing w:val="-6"/>
                <w:w w:val="105"/>
                <w:sz w:val="16"/>
                <w:szCs w:val="16"/>
              </w:rPr>
              <w:t xml:space="preserve"> </w:t>
            </w:r>
            <w:r w:rsidRPr="00700602">
              <w:rPr>
                <w:rFonts w:ascii="Arial" w:hAnsi="Arial" w:cs="Arial"/>
                <w:b/>
                <w:color w:val="000000" w:themeColor="text1"/>
                <w:spacing w:val="-1"/>
                <w:w w:val="105"/>
                <w:sz w:val="16"/>
                <w:szCs w:val="16"/>
              </w:rPr>
              <w:t>are</w:t>
            </w:r>
            <w:r w:rsidRPr="00700602">
              <w:rPr>
                <w:rFonts w:ascii="Arial" w:hAnsi="Arial" w:cs="Arial"/>
                <w:b/>
                <w:color w:val="000000" w:themeColor="text1"/>
                <w:spacing w:val="25"/>
                <w:w w:val="104"/>
                <w:sz w:val="16"/>
                <w:szCs w:val="16"/>
              </w:rPr>
              <w:t xml:space="preserve"> </w:t>
            </w:r>
            <w:r w:rsidRPr="00700602">
              <w:rPr>
                <w:rFonts w:ascii="Arial" w:hAnsi="Arial" w:cs="Arial"/>
                <w:b/>
                <w:color w:val="000000" w:themeColor="text1"/>
                <w:spacing w:val="-1"/>
                <w:w w:val="105"/>
                <w:sz w:val="16"/>
                <w:szCs w:val="16"/>
              </w:rPr>
              <w:t>taken</w:t>
            </w:r>
          </w:p>
        </w:tc>
        <w:tc>
          <w:tcPr>
            <w:tcW w:w="1339" w:type="dxa"/>
            <w:tcBorders>
              <w:top w:val="single" w:sz="8" w:space="0" w:color="000000"/>
              <w:left w:val="single" w:sz="8" w:space="0" w:color="000000"/>
              <w:bottom w:val="single" w:sz="8" w:space="0" w:color="000000"/>
              <w:right w:val="single" w:sz="8" w:space="0" w:color="000000"/>
            </w:tcBorders>
          </w:tcPr>
          <w:p w14:paraId="1AE329A7" w14:textId="77777777" w:rsidR="00CF7ED5" w:rsidRPr="00700602" w:rsidRDefault="00CF7ED5" w:rsidP="005D4764">
            <w:pPr>
              <w:pStyle w:val="TableParagraph"/>
              <w:spacing w:before="76" w:line="287" w:lineRule="auto"/>
              <w:ind w:left="61" w:right="55"/>
              <w:jc w:val="center"/>
              <w:rPr>
                <w:rFonts w:ascii="Arial" w:eastAsia="Source Sans Pro" w:hAnsi="Arial" w:cs="Arial"/>
                <w:color w:val="000000" w:themeColor="text1"/>
                <w:sz w:val="16"/>
                <w:szCs w:val="16"/>
              </w:rPr>
            </w:pPr>
            <w:r w:rsidRPr="00700602">
              <w:rPr>
                <w:rFonts w:ascii="Arial" w:hAnsi="Arial" w:cs="Arial"/>
                <w:b/>
                <w:color w:val="000000" w:themeColor="text1"/>
                <w:spacing w:val="-1"/>
                <w:w w:val="105"/>
                <w:sz w:val="16"/>
                <w:szCs w:val="16"/>
              </w:rPr>
              <w:t>Projected</w:t>
            </w:r>
            <w:r w:rsidRPr="00700602">
              <w:rPr>
                <w:rFonts w:ascii="Arial" w:hAnsi="Arial" w:cs="Arial"/>
                <w:b/>
                <w:color w:val="000000" w:themeColor="text1"/>
                <w:spacing w:val="-6"/>
                <w:w w:val="105"/>
                <w:sz w:val="16"/>
                <w:szCs w:val="16"/>
              </w:rPr>
              <w:t xml:space="preserve"> </w:t>
            </w:r>
            <w:r w:rsidRPr="00700602">
              <w:rPr>
                <w:rFonts w:ascii="Arial" w:hAnsi="Arial" w:cs="Arial"/>
                <w:b/>
                <w:color w:val="000000" w:themeColor="text1"/>
                <w:spacing w:val="-1"/>
                <w:w w:val="105"/>
                <w:sz w:val="16"/>
                <w:szCs w:val="16"/>
              </w:rPr>
              <w:t>value</w:t>
            </w:r>
            <w:r w:rsidRPr="00700602">
              <w:rPr>
                <w:rFonts w:ascii="Arial" w:hAnsi="Arial" w:cs="Arial"/>
                <w:b/>
                <w:color w:val="000000" w:themeColor="text1"/>
                <w:spacing w:val="29"/>
                <w:w w:val="104"/>
                <w:sz w:val="16"/>
                <w:szCs w:val="16"/>
              </w:rPr>
              <w:t xml:space="preserve"> in today’s money </w:t>
            </w:r>
            <w:r w:rsidRPr="00700602">
              <w:rPr>
                <w:rFonts w:ascii="Arial" w:hAnsi="Arial" w:cs="Arial"/>
                <w:b/>
                <w:color w:val="000000" w:themeColor="text1"/>
                <w:spacing w:val="-1"/>
                <w:w w:val="105"/>
                <w:sz w:val="16"/>
                <w:szCs w:val="16"/>
              </w:rPr>
              <w:t>after</w:t>
            </w:r>
            <w:r w:rsidRPr="00700602">
              <w:rPr>
                <w:rFonts w:ascii="Arial" w:hAnsi="Arial" w:cs="Arial"/>
                <w:b/>
                <w:color w:val="000000" w:themeColor="text1"/>
                <w:spacing w:val="-4"/>
                <w:w w:val="105"/>
                <w:sz w:val="16"/>
                <w:szCs w:val="16"/>
              </w:rPr>
              <w:t xml:space="preserve"> </w:t>
            </w:r>
            <w:r w:rsidRPr="00700602">
              <w:rPr>
                <w:rFonts w:ascii="Arial" w:hAnsi="Arial" w:cs="Arial"/>
                <w:b/>
                <w:color w:val="000000" w:themeColor="text1"/>
                <w:spacing w:val="-1"/>
                <w:w w:val="105"/>
                <w:sz w:val="16"/>
                <w:szCs w:val="16"/>
              </w:rPr>
              <w:t>costs</w:t>
            </w:r>
            <w:r w:rsidRPr="00700602">
              <w:rPr>
                <w:rFonts w:ascii="Arial" w:hAnsi="Arial" w:cs="Arial"/>
                <w:b/>
                <w:color w:val="000000" w:themeColor="text1"/>
                <w:spacing w:val="-3"/>
                <w:w w:val="105"/>
                <w:sz w:val="16"/>
                <w:szCs w:val="16"/>
              </w:rPr>
              <w:t xml:space="preserve"> </w:t>
            </w:r>
            <w:r w:rsidRPr="00700602">
              <w:rPr>
                <w:rFonts w:ascii="Arial" w:hAnsi="Arial" w:cs="Arial"/>
                <w:b/>
                <w:color w:val="000000" w:themeColor="text1"/>
                <w:spacing w:val="-1"/>
                <w:w w:val="105"/>
                <w:sz w:val="16"/>
                <w:szCs w:val="16"/>
              </w:rPr>
              <w:t>and</w:t>
            </w:r>
            <w:r w:rsidRPr="00700602">
              <w:rPr>
                <w:rFonts w:ascii="Arial" w:hAnsi="Arial" w:cs="Arial"/>
                <w:b/>
                <w:color w:val="000000" w:themeColor="text1"/>
                <w:spacing w:val="24"/>
                <w:w w:val="104"/>
                <w:sz w:val="16"/>
                <w:szCs w:val="16"/>
              </w:rPr>
              <w:t xml:space="preserve"> </w:t>
            </w:r>
            <w:r w:rsidRPr="00700602">
              <w:rPr>
                <w:rFonts w:ascii="Arial" w:hAnsi="Arial" w:cs="Arial"/>
                <w:b/>
                <w:color w:val="000000" w:themeColor="text1"/>
                <w:spacing w:val="-1"/>
                <w:w w:val="105"/>
                <w:sz w:val="16"/>
                <w:szCs w:val="16"/>
              </w:rPr>
              <w:t>charges</w:t>
            </w:r>
            <w:r w:rsidRPr="00700602">
              <w:rPr>
                <w:rFonts w:ascii="Arial" w:hAnsi="Arial" w:cs="Arial"/>
                <w:b/>
                <w:color w:val="000000" w:themeColor="text1"/>
                <w:spacing w:val="-6"/>
                <w:w w:val="105"/>
                <w:sz w:val="16"/>
                <w:szCs w:val="16"/>
              </w:rPr>
              <w:t xml:space="preserve"> </w:t>
            </w:r>
            <w:r w:rsidRPr="00700602">
              <w:rPr>
                <w:rFonts w:ascii="Arial" w:hAnsi="Arial" w:cs="Arial"/>
                <w:b/>
                <w:color w:val="000000" w:themeColor="text1"/>
                <w:spacing w:val="-1"/>
                <w:w w:val="105"/>
                <w:sz w:val="16"/>
                <w:szCs w:val="16"/>
              </w:rPr>
              <w:t>are</w:t>
            </w:r>
            <w:r w:rsidRPr="00700602">
              <w:rPr>
                <w:rFonts w:ascii="Arial" w:hAnsi="Arial" w:cs="Arial"/>
                <w:b/>
                <w:color w:val="000000" w:themeColor="text1"/>
                <w:spacing w:val="25"/>
                <w:w w:val="104"/>
                <w:sz w:val="16"/>
                <w:szCs w:val="16"/>
              </w:rPr>
              <w:t xml:space="preserve"> </w:t>
            </w:r>
            <w:r w:rsidRPr="00700602">
              <w:rPr>
                <w:rFonts w:ascii="Arial" w:hAnsi="Arial" w:cs="Arial"/>
                <w:b/>
                <w:color w:val="000000" w:themeColor="text1"/>
                <w:spacing w:val="-1"/>
                <w:w w:val="105"/>
                <w:sz w:val="16"/>
                <w:szCs w:val="16"/>
              </w:rPr>
              <w:t>taken</w:t>
            </w:r>
          </w:p>
        </w:tc>
      </w:tr>
      <w:tr w:rsidR="001427F1" w:rsidRPr="001427F1" w14:paraId="64F14166" w14:textId="77777777" w:rsidTr="008240C8">
        <w:trPr>
          <w:trHeight w:hRule="exact" w:val="283"/>
        </w:trPr>
        <w:tc>
          <w:tcPr>
            <w:tcW w:w="936" w:type="dxa"/>
            <w:tcBorders>
              <w:top w:val="single" w:sz="8" w:space="0" w:color="000000"/>
              <w:left w:val="single" w:sz="8" w:space="0" w:color="000000"/>
              <w:right w:val="single" w:sz="8" w:space="0" w:color="000000"/>
            </w:tcBorders>
          </w:tcPr>
          <w:p w14:paraId="7B872EA7" w14:textId="77777777" w:rsidR="00CF7ED5" w:rsidRPr="00700602" w:rsidRDefault="00CF7ED5" w:rsidP="005D4764">
            <w:pPr>
              <w:pStyle w:val="TableParagraph"/>
              <w:spacing w:before="20"/>
              <w:ind w:left="5"/>
              <w:jc w:val="center"/>
              <w:rPr>
                <w:rFonts w:ascii="Arial" w:hAnsi="Arial" w:cs="Arial"/>
                <w:b/>
                <w:color w:val="000000" w:themeColor="text1"/>
                <w:w w:val="105"/>
                <w:sz w:val="16"/>
                <w:szCs w:val="16"/>
              </w:rPr>
            </w:pPr>
            <w:r w:rsidRPr="00700602">
              <w:rPr>
                <w:rFonts w:ascii="Arial" w:hAnsi="Arial" w:cs="Arial"/>
                <w:b/>
                <w:color w:val="000000" w:themeColor="text1"/>
                <w:w w:val="105"/>
                <w:sz w:val="16"/>
                <w:szCs w:val="16"/>
              </w:rPr>
              <w:t>0</w:t>
            </w:r>
          </w:p>
        </w:tc>
        <w:tc>
          <w:tcPr>
            <w:tcW w:w="1339" w:type="dxa"/>
            <w:tcBorders>
              <w:top w:val="single" w:sz="8" w:space="0" w:color="000000"/>
              <w:left w:val="single" w:sz="8" w:space="0" w:color="000000"/>
              <w:right w:val="single" w:sz="8" w:space="0" w:color="000000"/>
            </w:tcBorders>
          </w:tcPr>
          <w:p w14:paraId="0C15A92B" w14:textId="77777777" w:rsidR="00CF7ED5" w:rsidRPr="00700602" w:rsidRDefault="00CF7ED5" w:rsidP="005D4764">
            <w:pPr>
              <w:pStyle w:val="TableParagraph"/>
              <w:spacing w:before="20"/>
              <w:jc w:val="center"/>
              <w:rPr>
                <w:rFonts w:ascii="Arial" w:eastAsia="Source Sans Pro" w:hAnsi="Arial" w:cs="Arial"/>
                <w:color w:val="000000" w:themeColor="text1"/>
                <w:sz w:val="16"/>
                <w:szCs w:val="16"/>
              </w:rPr>
            </w:pPr>
            <w:r w:rsidRPr="00700602">
              <w:rPr>
                <w:rFonts w:ascii="Arial" w:eastAsia="Source Sans Pro" w:hAnsi="Arial" w:cs="Arial"/>
                <w:color w:val="000000" w:themeColor="text1"/>
                <w:sz w:val="16"/>
                <w:szCs w:val="16"/>
              </w:rPr>
              <w:t>£25,000</w:t>
            </w:r>
          </w:p>
        </w:tc>
        <w:tc>
          <w:tcPr>
            <w:tcW w:w="1339" w:type="dxa"/>
            <w:tcBorders>
              <w:top w:val="single" w:sz="8" w:space="0" w:color="000000"/>
              <w:left w:val="single" w:sz="8" w:space="0" w:color="000000"/>
              <w:right w:val="single" w:sz="8" w:space="0" w:color="000000"/>
            </w:tcBorders>
          </w:tcPr>
          <w:p w14:paraId="36078AB2" w14:textId="77777777" w:rsidR="00CF7ED5" w:rsidRPr="00A7742C" w:rsidRDefault="00CF7ED5" w:rsidP="005D4764">
            <w:pPr>
              <w:pStyle w:val="TableParagraph"/>
              <w:spacing w:before="20"/>
              <w:jc w:val="center"/>
              <w:rPr>
                <w:rFonts w:ascii="Arial" w:eastAsia="Source Sans Pro" w:hAnsi="Arial" w:cs="Arial"/>
                <w:color w:val="000000" w:themeColor="text1"/>
                <w:sz w:val="16"/>
                <w:szCs w:val="16"/>
              </w:rPr>
            </w:pPr>
            <w:r w:rsidRPr="00A7742C">
              <w:rPr>
                <w:rFonts w:ascii="Arial" w:eastAsia="Source Sans Pro" w:hAnsi="Arial" w:cs="Arial"/>
                <w:color w:val="000000" w:themeColor="text1"/>
                <w:sz w:val="16"/>
                <w:szCs w:val="16"/>
              </w:rPr>
              <w:t>£25,000</w:t>
            </w:r>
          </w:p>
        </w:tc>
        <w:tc>
          <w:tcPr>
            <w:tcW w:w="1339" w:type="dxa"/>
            <w:tcBorders>
              <w:top w:val="single" w:sz="8" w:space="0" w:color="000000"/>
              <w:left w:val="single" w:sz="8" w:space="0" w:color="000000"/>
              <w:right w:val="single" w:sz="8" w:space="0" w:color="000000"/>
            </w:tcBorders>
          </w:tcPr>
          <w:p w14:paraId="5A60B1B8" w14:textId="77777777" w:rsidR="00CF7ED5" w:rsidRPr="00A7742C" w:rsidRDefault="00CF7ED5" w:rsidP="005D4764">
            <w:pPr>
              <w:pStyle w:val="TableParagraph"/>
              <w:spacing w:before="20"/>
              <w:jc w:val="center"/>
              <w:rPr>
                <w:rFonts w:ascii="Arial" w:eastAsia="Source Sans Pro" w:hAnsi="Arial" w:cs="Arial"/>
                <w:color w:val="000000" w:themeColor="text1"/>
                <w:sz w:val="16"/>
                <w:szCs w:val="16"/>
              </w:rPr>
            </w:pPr>
            <w:r w:rsidRPr="00A7742C">
              <w:rPr>
                <w:rFonts w:ascii="Arial" w:eastAsia="Source Sans Pro" w:hAnsi="Arial" w:cs="Arial"/>
                <w:color w:val="000000" w:themeColor="text1"/>
                <w:sz w:val="16"/>
                <w:szCs w:val="16"/>
              </w:rPr>
              <w:t>£25,000</w:t>
            </w:r>
          </w:p>
        </w:tc>
        <w:tc>
          <w:tcPr>
            <w:tcW w:w="1339" w:type="dxa"/>
            <w:tcBorders>
              <w:top w:val="single" w:sz="8" w:space="0" w:color="000000"/>
              <w:left w:val="single" w:sz="8" w:space="0" w:color="000000"/>
              <w:right w:val="single" w:sz="8" w:space="0" w:color="000000"/>
            </w:tcBorders>
          </w:tcPr>
          <w:p w14:paraId="4A8EBEA1" w14:textId="77777777" w:rsidR="00CF7ED5" w:rsidRPr="000A69E4" w:rsidRDefault="00CF7ED5" w:rsidP="005D4764">
            <w:pPr>
              <w:pStyle w:val="TableParagraph"/>
              <w:spacing w:before="20"/>
              <w:jc w:val="center"/>
              <w:rPr>
                <w:rFonts w:ascii="Arial" w:eastAsia="Source Sans Pro" w:hAnsi="Arial" w:cs="Arial"/>
                <w:color w:val="000000" w:themeColor="text1"/>
                <w:sz w:val="16"/>
                <w:szCs w:val="16"/>
              </w:rPr>
            </w:pPr>
            <w:r w:rsidRPr="000A69E4">
              <w:rPr>
                <w:rFonts w:ascii="Arial" w:eastAsia="Source Sans Pro" w:hAnsi="Arial" w:cs="Arial"/>
                <w:color w:val="000000" w:themeColor="text1"/>
                <w:sz w:val="16"/>
                <w:szCs w:val="16"/>
              </w:rPr>
              <w:t>£25,000</w:t>
            </w:r>
          </w:p>
        </w:tc>
        <w:tc>
          <w:tcPr>
            <w:tcW w:w="1339" w:type="dxa"/>
            <w:tcBorders>
              <w:top w:val="single" w:sz="8" w:space="0" w:color="000000"/>
              <w:left w:val="single" w:sz="8" w:space="0" w:color="000000"/>
              <w:right w:val="single" w:sz="8" w:space="0" w:color="000000"/>
            </w:tcBorders>
          </w:tcPr>
          <w:p w14:paraId="6133F7B5" w14:textId="77777777" w:rsidR="00CF7ED5" w:rsidRPr="002E69BD" w:rsidRDefault="00CF7ED5" w:rsidP="005D4764">
            <w:pPr>
              <w:pStyle w:val="TableParagraph"/>
              <w:spacing w:before="20"/>
              <w:jc w:val="center"/>
              <w:rPr>
                <w:rFonts w:ascii="Arial" w:eastAsia="Source Sans Pro" w:hAnsi="Arial" w:cs="Arial"/>
                <w:color w:val="000000" w:themeColor="text1"/>
                <w:sz w:val="16"/>
                <w:szCs w:val="16"/>
              </w:rPr>
            </w:pPr>
            <w:r w:rsidRPr="002E69BD">
              <w:rPr>
                <w:rFonts w:ascii="Arial" w:eastAsia="Source Sans Pro" w:hAnsi="Arial" w:cs="Arial"/>
                <w:color w:val="000000" w:themeColor="text1"/>
                <w:sz w:val="16"/>
                <w:szCs w:val="16"/>
              </w:rPr>
              <w:t>£25,000</w:t>
            </w:r>
          </w:p>
        </w:tc>
        <w:tc>
          <w:tcPr>
            <w:tcW w:w="1339" w:type="dxa"/>
            <w:tcBorders>
              <w:top w:val="single" w:sz="8" w:space="0" w:color="000000"/>
              <w:left w:val="single" w:sz="8" w:space="0" w:color="000000"/>
              <w:right w:val="single" w:sz="8" w:space="0" w:color="000000"/>
            </w:tcBorders>
          </w:tcPr>
          <w:p w14:paraId="21B2D710" w14:textId="77777777" w:rsidR="00CF7ED5" w:rsidRPr="00E82458" w:rsidRDefault="00CF7ED5" w:rsidP="005D4764">
            <w:pPr>
              <w:pStyle w:val="TableParagraph"/>
              <w:spacing w:before="20"/>
              <w:jc w:val="center"/>
              <w:rPr>
                <w:rFonts w:ascii="Arial" w:eastAsia="Source Sans Pro" w:hAnsi="Arial" w:cs="Arial"/>
                <w:color w:val="000000" w:themeColor="text1"/>
                <w:sz w:val="16"/>
                <w:szCs w:val="16"/>
              </w:rPr>
            </w:pPr>
            <w:r w:rsidRPr="00E82458">
              <w:rPr>
                <w:rFonts w:ascii="Arial" w:eastAsia="Source Sans Pro" w:hAnsi="Arial" w:cs="Arial"/>
                <w:color w:val="000000" w:themeColor="text1"/>
                <w:sz w:val="16"/>
                <w:szCs w:val="16"/>
              </w:rPr>
              <w:t>£25,000</w:t>
            </w:r>
          </w:p>
        </w:tc>
      </w:tr>
      <w:tr w:rsidR="001427F1" w:rsidRPr="001427F1" w14:paraId="2D9A5BD6" w14:textId="77777777" w:rsidTr="008240C8">
        <w:trPr>
          <w:trHeight w:hRule="exact" w:val="283"/>
        </w:trPr>
        <w:tc>
          <w:tcPr>
            <w:tcW w:w="936" w:type="dxa"/>
            <w:tcBorders>
              <w:left w:val="single" w:sz="8" w:space="0" w:color="000000"/>
              <w:bottom w:val="nil"/>
              <w:right w:val="single" w:sz="8" w:space="0" w:color="000000"/>
            </w:tcBorders>
          </w:tcPr>
          <w:p w14:paraId="1666D5ED" w14:textId="77777777" w:rsidR="00CF7ED5" w:rsidRPr="00A7742C" w:rsidRDefault="00CF7ED5" w:rsidP="005D4764">
            <w:pPr>
              <w:pStyle w:val="TableParagraph"/>
              <w:spacing w:before="20"/>
              <w:ind w:left="5"/>
              <w:jc w:val="center"/>
              <w:rPr>
                <w:rFonts w:ascii="Arial" w:eastAsia="Source Sans Pro" w:hAnsi="Arial" w:cs="Arial"/>
                <w:color w:val="000000" w:themeColor="text1"/>
                <w:sz w:val="16"/>
                <w:szCs w:val="16"/>
              </w:rPr>
            </w:pPr>
            <w:r w:rsidRPr="00A7742C">
              <w:rPr>
                <w:rFonts w:ascii="Arial" w:hAnsi="Arial" w:cs="Arial"/>
                <w:b/>
                <w:color w:val="000000" w:themeColor="text1"/>
                <w:w w:val="105"/>
                <w:sz w:val="16"/>
                <w:szCs w:val="16"/>
              </w:rPr>
              <w:t>1</w:t>
            </w:r>
          </w:p>
        </w:tc>
        <w:tc>
          <w:tcPr>
            <w:tcW w:w="1339" w:type="dxa"/>
            <w:tcBorders>
              <w:left w:val="single" w:sz="8" w:space="0" w:color="000000"/>
              <w:bottom w:val="nil"/>
              <w:right w:val="single" w:sz="8" w:space="0" w:color="000000"/>
            </w:tcBorders>
          </w:tcPr>
          <w:p w14:paraId="02299FD8" w14:textId="31A0AFF3" w:rsidR="00CF7ED5" w:rsidRPr="00700602" w:rsidRDefault="00CF7ED5" w:rsidP="005D4764">
            <w:pPr>
              <w:pStyle w:val="TableParagraph"/>
              <w:spacing w:before="20"/>
              <w:jc w:val="center"/>
              <w:rPr>
                <w:rFonts w:ascii="Arial" w:eastAsia="Source Sans Pro" w:hAnsi="Arial" w:cs="Arial"/>
                <w:color w:val="000000" w:themeColor="text1"/>
                <w:sz w:val="16"/>
                <w:szCs w:val="16"/>
              </w:rPr>
            </w:pPr>
            <w:r w:rsidRPr="00700602">
              <w:rPr>
                <w:color w:val="000000" w:themeColor="text1"/>
                <w:spacing w:val="-2"/>
                <w:sz w:val="16"/>
              </w:rPr>
              <w:t>£25,</w:t>
            </w:r>
            <w:r w:rsidR="00700602" w:rsidRPr="00700602">
              <w:rPr>
                <w:color w:val="000000" w:themeColor="text1"/>
                <w:spacing w:val="-2"/>
                <w:sz w:val="16"/>
              </w:rPr>
              <w:t>5</w:t>
            </w:r>
            <w:r w:rsidRPr="00700602">
              <w:rPr>
                <w:color w:val="000000" w:themeColor="text1"/>
                <w:spacing w:val="-2"/>
                <w:sz w:val="16"/>
              </w:rPr>
              <w:t>00</w:t>
            </w:r>
          </w:p>
        </w:tc>
        <w:tc>
          <w:tcPr>
            <w:tcW w:w="1339" w:type="dxa"/>
            <w:tcBorders>
              <w:left w:val="single" w:sz="8" w:space="0" w:color="000000"/>
              <w:bottom w:val="nil"/>
              <w:right w:val="single" w:sz="8" w:space="0" w:color="000000"/>
            </w:tcBorders>
          </w:tcPr>
          <w:p w14:paraId="11E5E488" w14:textId="022DC9BB" w:rsidR="00CF7ED5" w:rsidRPr="00A7742C" w:rsidRDefault="00CF7ED5" w:rsidP="005D4764">
            <w:pPr>
              <w:pStyle w:val="TableParagraph"/>
              <w:spacing w:before="20"/>
              <w:jc w:val="center"/>
              <w:rPr>
                <w:rFonts w:ascii="Arial" w:eastAsia="Source Sans Pro" w:hAnsi="Arial" w:cs="Arial"/>
                <w:color w:val="000000" w:themeColor="text1"/>
                <w:sz w:val="16"/>
                <w:szCs w:val="16"/>
              </w:rPr>
            </w:pPr>
            <w:r w:rsidRPr="00A7742C">
              <w:rPr>
                <w:color w:val="000000" w:themeColor="text1"/>
                <w:spacing w:val="-2"/>
                <w:sz w:val="16"/>
              </w:rPr>
              <w:t>£25</w:t>
            </w:r>
            <w:r w:rsidR="00D3291C" w:rsidRPr="00A7742C">
              <w:rPr>
                <w:color w:val="000000" w:themeColor="text1"/>
                <w:spacing w:val="-2"/>
                <w:sz w:val="16"/>
              </w:rPr>
              <w:t>,</w:t>
            </w:r>
            <w:r w:rsidR="00A7742C" w:rsidRPr="00A7742C">
              <w:rPr>
                <w:color w:val="000000" w:themeColor="text1"/>
                <w:spacing w:val="-2"/>
                <w:sz w:val="16"/>
              </w:rPr>
              <w:t>4</w:t>
            </w:r>
            <w:r w:rsidRPr="00A7742C">
              <w:rPr>
                <w:color w:val="000000" w:themeColor="text1"/>
                <w:spacing w:val="-2"/>
                <w:sz w:val="16"/>
              </w:rPr>
              <w:t>00</w:t>
            </w:r>
          </w:p>
        </w:tc>
        <w:tc>
          <w:tcPr>
            <w:tcW w:w="1339" w:type="dxa"/>
            <w:tcBorders>
              <w:left w:val="single" w:sz="8" w:space="0" w:color="000000"/>
              <w:bottom w:val="nil"/>
              <w:right w:val="single" w:sz="8" w:space="0" w:color="000000"/>
            </w:tcBorders>
          </w:tcPr>
          <w:p w14:paraId="3B7CFEB0" w14:textId="6681ECF2" w:rsidR="00CF7ED5" w:rsidRPr="00A7742C" w:rsidRDefault="00CF7ED5" w:rsidP="005D4764">
            <w:pPr>
              <w:pStyle w:val="TableParagraph"/>
              <w:spacing w:before="20"/>
              <w:jc w:val="center"/>
              <w:rPr>
                <w:rFonts w:ascii="Arial" w:eastAsia="Source Sans Pro" w:hAnsi="Arial" w:cs="Arial"/>
                <w:color w:val="000000" w:themeColor="text1"/>
                <w:sz w:val="16"/>
                <w:szCs w:val="16"/>
              </w:rPr>
            </w:pPr>
            <w:r w:rsidRPr="00A7742C">
              <w:rPr>
                <w:color w:val="000000" w:themeColor="text1"/>
                <w:spacing w:val="-2"/>
                <w:sz w:val="16"/>
              </w:rPr>
              <w:t>£25,</w:t>
            </w:r>
            <w:r w:rsidR="00A7742C" w:rsidRPr="00A7742C">
              <w:rPr>
                <w:color w:val="000000" w:themeColor="text1"/>
                <w:spacing w:val="-2"/>
                <w:sz w:val="16"/>
              </w:rPr>
              <w:t>6</w:t>
            </w:r>
            <w:r w:rsidRPr="00A7742C">
              <w:rPr>
                <w:color w:val="000000" w:themeColor="text1"/>
                <w:spacing w:val="-2"/>
                <w:sz w:val="16"/>
              </w:rPr>
              <w:t>00</w:t>
            </w:r>
          </w:p>
        </w:tc>
        <w:tc>
          <w:tcPr>
            <w:tcW w:w="1339" w:type="dxa"/>
            <w:tcBorders>
              <w:left w:val="single" w:sz="8" w:space="0" w:color="000000"/>
              <w:bottom w:val="nil"/>
              <w:right w:val="single" w:sz="8" w:space="0" w:color="000000"/>
            </w:tcBorders>
          </w:tcPr>
          <w:p w14:paraId="45438924" w14:textId="32F1895B" w:rsidR="00CF7ED5" w:rsidRPr="000A69E4" w:rsidRDefault="00CF7ED5" w:rsidP="005D4764">
            <w:pPr>
              <w:pStyle w:val="TableParagraph"/>
              <w:spacing w:before="20"/>
              <w:jc w:val="center"/>
              <w:rPr>
                <w:rFonts w:ascii="Arial" w:eastAsia="Source Sans Pro" w:hAnsi="Arial" w:cs="Arial"/>
                <w:color w:val="000000" w:themeColor="text1"/>
                <w:sz w:val="16"/>
                <w:szCs w:val="16"/>
              </w:rPr>
            </w:pPr>
            <w:r w:rsidRPr="000A69E4">
              <w:rPr>
                <w:color w:val="000000" w:themeColor="text1"/>
                <w:spacing w:val="-2"/>
                <w:sz w:val="16"/>
              </w:rPr>
              <w:t>£2</w:t>
            </w:r>
            <w:r w:rsidR="000A69E4" w:rsidRPr="000A69E4">
              <w:rPr>
                <w:color w:val="000000" w:themeColor="text1"/>
                <w:spacing w:val="-2"/>
                <w:sz w:val="16"/>
              </w:rPr>
              <w:t>5</w:t>
            </w:r>
            <w:r w:rsidRPr="000A69E4">
              <w:rPr>
                <w:color w:val="000000" w:themeColor="text1"/>
                <w:spacing w:val="-2"/>
                <w:sz w:val="16"/>
              </w:rPr>
              <w:t>,</w:t>
            </w:r>
            <w:r w:rsidR="000A69E4" w:rsidRPr="000A69E4">
              <w:rPr>
                <w:color w:val="000000" w:themeColor="text1"/>
                <w:spacing w:val="-2"/>
                <w:sz w:val="16"/>
              </w:rPr>
              <w:t>4</w:t>
            </w:r>
            <w:r w:rsidRPr="000A69E4">
              <w:rPr>
                <w:color w:val="000000" w:themeColor="text1"/>
                <w:spacing w:val="-2"/>
                <w:sz w:val="16"/>
              </w:rPr>
              <w:t>00</w:t>
            </w:r>
          </w:p>
        </w:tc>
        <w:tc>
          <w:tcPr>
            <w:tcW w:w="1339" w:type="dxa"/>
            <w:tcBorders>
              <w:left w:val="single" w:sz="8" w:space="0" w:color="000000"/>
              <w:bottom w:val="nil"/>
              <w:right w:val="single" w:sz="8" w:space="0" w:color="000000"/>
            </w:tcBorders>
          </w:tcPr>
          <w:p w14:paraId="4AF116CC" w14:textId="41DC7F4C" w:rsidR="00CF7ED5" w:rsidRPr="00E82458" w:rsidRDefault="00CF7ED5" w:rsidP="005D4764">
            <w:pPr>
              <w:pStyle w:val="TableParagraph"/>
              <w:spacing w:before="20"/>
              <w:jc w:val="center"/>
              <w:rPr>
                <w:rFonts w:ascii="Arial" w:eastAsia="Source Sans Pro" w:hAnsi="Arial" w:cs="Arial"/>
                <w:color w:val="000000" w:themeColor="text1"/>
                <w:sz w:val="16"/>
                <w:szCs w:val="16"/>
              </w:rPr>
            </w:pPr>
            <w:r w:rsidRPr="00E82458">
              <w:rPr>
                <w:color w:val="000000" w:themeColor="text1"/>
                <w:spacing w:val="-2"/>
                <w:sz w:val="16"/>
              </w:rPr>
              <w:t>£2</w:t>
            </w:r>
            <w:r w:rsidR="00E82458" w:rsidRPr="00E82458">
              <w:rPr>
                <w:color w:val="000000" w:themeColor="text1"/>
                <w:spacing w:val="-2"/>
                <w:sz w:val="16"/>
              </w:rPr>
              <w:t>5</w:t>
            </w:r>
            <w:r w:rsidRPr="00E82458">
              <w:rPr>
                <w:color w:val="000000" w:themeColor="text1"/>
                <w:spacing w:val="-2"/>
                <w:sz w:val="16"/>
              </w:rPr>
              <w:t>,</w:t>
            </w:r>
            <w:r w:rsidR="00E82458" w:rsidRPr="00E82458">
              <w:rPr>
                <w:color w:val="000000" w:themeColor="text1"/>
                <w:spacing w:val="-2"/>
                <w:sz w:val="16"/>
              </w:rPr>
              <w:t>6</w:t>
            </w:r>
            <w:r w:rsidR="005F2463" w:rsidRPr="00E82458">
              <w:rPr>
                <w:color w:val="000000" w:themeColor="text1"/>
                <w:spacing w:val="-2"/>
                <w:sz w:val="16"/>
              </w:rPr>
              <w:t>00</w:t>
            </w:r>
          </w:p>
        </w:tc>
        <w:tc>
          <w:tcPr>
            <w:tcW w:w="1339" w:type="dxa"/>
            <w:tcBorders>
              <w:left w:val="single" w:sz="8" w:space="0" w:color="000000"/>
              <w:bottom w:val="nil"/>
              <w:right w:val="single" w:sz="8" w:space="0" w:color="000000"/>
            </w:tcBorders>
          </w:tcPr>
          <w:p w14:paraId="1E047F75" w14:textId="198BF1A3" w:rsidR="00CF7ED5" w:rsidRPr="00E82458" w:rsidRDefault="00CF7ED5" w:rsidP="005D4764">
            <w:pPr>
              <w:pStyle w:val="TableParagraph"/>
              <w:spacing w:before="20"/>
              <w:jc w:val="center"/>
              <w:rPr>
                <w:rFonts w:ascii="Arial" w:eastAsia="Source Sans Pro" w:hAnsi="Arial" w:cs="Arial"/>
                <w:color w:val="000000" w:themeColor="text1"/>
                <w:sz w:val="16"/>
                <w:szCs w:val="16"/>
              </w:rPr>
            </w:pPr>
            <w:r w:rsidRPr="00E82458">
              <w:rPr>
                <w:color w:val="000000" w:themeColor="text1"/>
                <w:spacing w:val="-2"/>
                <w:sz w:val="16"/>
              </w:rPr>
              <w:t>£2</w:t>
            </w:r>
            <w:r w:rsidR="005F2463" w:rsidRPr="00E82458">
              <w:rPr>
                <w:color w:val="000000" w:themeColor="text1"/>
                <w:spacing w:val="-2"/>
                <w:sz w:val="16"/>
              </w:rPr>
              <w:t>5</w:t>
            </w:r>
            <w:r w:rsidRPr="00E82458">
              <w:rPr>
                <w:color w:val="000000" w:themeColor="text1"/>
                <w:spacing w:val="-2"/>
                <w:sz w:val="16"/>
              </w:rPr>
              <w:t>,</w:t>
            </w:r>
            <w:r w:rsidR="00E82458" w:rsidRPr="00E82458">
              <w:rPr>
                <w:color w:val="000000" w:themeColor="text1"/>
                <w:spacing w:val="-2"/>
                <w:sz w:val="16"/>
              </w:rPr>
              <w:t>4</w:t>
            </w:r>
            <w:r w:rsidRPr="00E82458">
              <w:rPr>
                <w:color w:val="000000" w:themeColor="text1"/>
                <w:spacing w:val="-2"/>
                <w:sz w:val="16"/>
              </w:rPr>
              <w:t>00</w:t>
            </w:r>
          </w:p>
        </w:tc>
      </w:tr>
      <w:tr w:rsidR="001427F1" w:rsidRPr="001427F1" w14:paraId="474994C5" w14:textId="77777777" w:rsidTr="008240C8">
        <w:trPr>
          <w:trHeight w:hRule="exact" w:val="281"/>
        </w:trPr>
        <w:tc>
          <w:tcPr>
            <w:tcW w:w="936" w:type="dxa"/>
            <w:tcBorders>
              <w:top w:val="nil"/>
              <w:left w:val="single" w:sz="8" w:space="0" w:color="000000"/>
              <w:bottom w:val="nil"/>
              <w:right w:val="single" w:sz="8" w:space="0" w:color="000000"/>
            </w:tcBorders>
          </w:tcPr>
          <w:p w14:paraId="15C1DA4A" w14:textId="77777777" w:rsidR="00CF7ED5" w:rsidRPr="00A7742C" w:rsidRDefault="00CF7ED5" w:rsidP="005D4764">
            <w:pPr>
              <w:pStyle w:val="TableParagraph"/>
              <w:spacing w:before="28"/>
              <w:ind w:left="5"/>
              <w:jc w:val="center"/>
              <w:rPr>
                <w:rFonts w:ascii="Arial" w:eastAsia="Source Sans Pro" w:hAnsi="Arial" w:cs="Arial"/>
                <w:color w:val="000000" w:themeColor="text1"/>
                <w:sz w:val="16"/>
                <w:szCs w:val="16"/>
              </w:rPr>
            </w:pPr>
            <w:r w:rsidRPr="00A7742C">
              <w:rPr>
                <w:rFonts w:ascii="Arial" w:hAnsi="Arial" w:cs="Arial"/>
                <w:b/>
                <w:color w:val="000000" w:themeColor="text1"/>
                <w:w w:val="105"/>
                <w:sz w:val="16"/>
                <w:szCs w:val="16"/>
              </w:rPr>
              <w:t>2</w:t>
            </w:r>
          </w:p>
        </w:tc>
        <w:tc>
          <w:tcPr>
            <w:tcW w:w="1339" w:type="dxa"/>
            <w:tcBorders>
              <w:top w:val="nil"/>
              <w:left w:val="single" w:sz="8" w:space="0" w:color="000000"/>
              <w:bottom w:val="nil"/>
              <w:right w:val="single" w:sz="8" w:space="0" w:color="000000"/>
            </w:tcBorders>
          </w:tcPr>
          <w:p w14:paraId="48E00F8A" w14:textId="541D4D0E" w:rsidR="00CF7ED5" w:rsidRPr="00700602" w:rsidRDefault="00CF7ED5" w:rsidP="005D4764">
            <w:pPr>
              <w:pStyle w:val="TableParagraph"/>
              <w:spacing w:before="28"/>
              <w:jc w:val="center"/>
              <w:rPr>
                <w:rFonts w:ascii="Arial" w:eastAsia="Source Sans Pro" w:hAnsi="Arial" w:cs="Arial"/>
                <w:color w:val="000000" w:themeColor="text1"/>
                <w:sz w:val="16"/>
                <w:szCs w:val="16"/>
              </w:rPr>
            </w:pPr>
            <w:r w:rsidRPr="00700602">
              <w:rPr>
                <w:color w:val="000000" w:themeColor="text1"/>
                <w:spacing w:val="-2"/>
                <w:sz w:val="16"/>
              </w:rPr>
              <w:t>£2</w:t>
            </w:r>
            <w:r w:rsidR="00D3291C" w:rsidRPr="00700602">
              <w:rPr>
                <w:color w:val="000000" w:themeColor="text1"/>
                <w:spacing w:val="-2"/>
                <w:sz w:val="16"/>
              </w:rPr>
              <w:t>6</w:t>
            </w:r>
            <w:r w:rsidRPr="00700602">
              <w:rPr>
                <w:color w:val="000000" w:themeColor="text1"/>
                <w:spacing w:val="-2"/>
                <w:sz w:val="16"/>
              </w:rPr>
              <w:t>,</w:t>
            </w:r>
            <w:r w:rsidR="00700602" w:rsidRPr="00700602">
              <w:rPr>
                <w:color w:val="000000" w:themeColor="text1"/>
                <w:spacing w:val="-2"/>
                <w:sz w:val="16"/>
              </w:rPr>
              <w:t>1</w:t>
            </w:r>
            <w:r w:rsidRPr="00700602">
              <w:rPr>
                <w:color w:val="000000" w:themeColor="text1"/>
                <w:spacing w:val="-2"/>
                <w:sz w:val="16"/>
              </w:rPr>
              <w:t>00</w:t>
            </w:r>
          </w:p>
        </w:tc>
        <w:tc>
          <w:tcPr>
            <w:tcW w:w="1339" w:type="dxa"/>
            <w:tcBorders>
              <w:top w:val="nil"/>
              <w:left w:val="single" w:sz="8" w:space="0" w:color="000000"/>
              <w:bottom w:val="nil"/>
              <w:right w:val="single" w:sz="8" w:space="0" w:color="000000"/>
            </w:tcBorders>
          </w:tcPr>
          <w:p w14:paraId="56C105FC" w14:textId="6AD23756" w:rsidR="00CF7ED5" w:rsidRPr="00A7742C" w:rsidRDefault="00CF7ED5" w:rsidP="005D4764">
            <w:pPr>
              <w:pStyle w:val="TableParagraph"/>
              <w:spacing w:before="28"/>
              <w:jc w:val="center"/>
              <w:rPr>
                <w:rFonts w:ascii="Arial" w:eastAsia="Source Sans Pro" w:hAnsi="Arial" w:cs="Arial"/>
                <w:color w:val="000000" w:themeColor="text1"/>
                <w:sz w:val="16"/>
                <w:szCs w:val="16"/>
              </w:rPr>
            </w:pPr>
            <w:r w:rsidRPr="00A7742C">
              <w:rPr>
                <w:color w:val="000000" w:themeColor="text1"/>
                <w:spacing w:val="-2"/>
                <w:sz w:val="16"/>
              </w:rPr>
              <w:t>£2</w:t>
            </w:r>
            <w:r w:rsidR="00A7742C" w:rsidRPr="00A7742C">
              <w:rPr>
                <w:color w:val="000000" w:themeColor="text1"/>
                <w:spacing w:val="-2"/>
                <w:sz w:val="16"/>
              </w:rPr>
              <w:t>5</w:t>
            </w:r>
            <w:r w:rsidRPr="00A7742C">
              <w:rPr>
                <w:color w:val="000000" w:themeColor="text1"/>
                <w:spacing w:val="-2"/>
                <w:sz w:val="16"/>
              </w:rPr>
              <w:t>,</w:t>
            </w:r>
            <w:r w:rsidR="00A7742C" w:rsidRPr="00A7742C">
              <w:rPr>
                <w:color w:val="000000" w:themeColor="text1"/>
                <w:spacing w:val="-2"/>
                <w:sz w:val="16"/>
              </w:rPr>
              <w:t>7</w:t>
            </w:r>
            <w:r w:rsidRPr="00A7742C">
              <w:rPr>
                <w:color w:val="000000" w:themeColor="text1"/>
                <w:spacing w:val="-2"/>
                <w:sz w:val="16"/>
              </w:rPr>
              <w:t>00</w:t>
            </w:r>
          </w:p>
        </w:tc>
        <w:tc>
          <w:tcPr>
            <w:tcW w:w="1339" w:type="dxa"/>
            <w:tcBorders>
              <w:top w:val="nil"/>
              <w:left w:val="single" w:sz="8" w:space="0" w:color="000000"/>
              <w:bottom w:val="nil"/>
              <w:right w:val="single" w:sz="8" w:space="0" w:color="000000"/>
            </w:tcBorders>
          </w:tcPr>
          <w:p w14:paraId="460F811E" w14:textId="4536A8A0" w:rsidR="00CF7ED5" w:rsidRPr="00A7742C" w:rsidRDefault="00CF7ED5" w:rsidP="005D4764">
            <w:pPr>
              <w:pStyle w:val="TableParagraph"/>
              <w:spacing w:before="28"/>
              <w:jc w:val="center"/>
              <w:rPr>
                <w:rFonts w:ascii="Arial" w:eastAsia="Source Sans Pro" w:hAnsi="Arial" w:cs="Arial"/>
                <w:color w:val="000000" w:themeColor="text1"/>
                <w:sz w:val="16"/>
                <w:szCs w:val="16"/>
              </w:rPr>
            </w:pPr>
            <w:r w:rsidRPr="00A7742C">
              <w:rPr>
                <w:color w:val="000000" w:themeColor="text1"/>
                <w:spacing w:val="-2"/>
                <w:sz w:val="16"/>
              </w:rPr>
              <w:t>£2</w:t>
            </w:r>
            <w:r w:rsidR="00A7742C" w:rsidRPr="00A7742C">
              <w:rPr>
                <w:color w:val="000000" w:themeColor="text1"/>
                <w:spacing w:val="-2"/>
                <w:sz w:val="16"/>
              </w:rPr>
              <w:t>6</w:t>
            </w:r>
            <w:r w:rsidRPr="00A7742C">
              <w:rPr>
                <w:color w:val="000000" w:themeColor="text1"/>
                <w:spacing w:val="-2"/>
                <w:sz w:val="16"/>
              </w:rPr>
              <w:t>,</w:t>
            </w:r>
            <w:r w:rsidR="005976EC" w:rsidRPr="00A7742C">
              <w:rPr>
                <w:color w:val="000000" w:themeColor="text1"/>
                <w:spacing w:val="-2"/>
                <w:sz w:val="16"/>
              </w:rPr>
              <w:t>2</w:t>
            </w:r>
            <w:r w:rsidRPr="00A7742C">
              <w:rPr>
                <w:color w:val="000000" w:themeColor="text1"/>
                <w:spacing w:val="-2"/>
                <w:sz w:val="16"/>
              </w:rPr>
              <w:t>00</w:t>
            </w:r>
          </w:p>
        </w:tc>
        <w:tc>
          <w:tcPr>
            <w:tcW w:w="1339" w:type="dxa"/>
            <w:tcBorders>
              <w:top w:val="nil"/>
              <w:left w:val="single" w:sz="8" w:space="0" w:color="000000"/>
              <w:bottom w:val="nil"/>
              <w:right w:val="single" w:sz="8" w:space="0" w:color="000000"/>
            </w:tcBorders>
          </w:tcPr>
          <w:p w14:paraId="5BD93D4E" w14:textId="50BEF801" w:rsidR="00CF7ED5" w:rsidRPr="000A69E4" w:rsidRDefault="00CF7ED5" w:rsidP="005D4764">
            <w:pPr>
              <w:pStyle w:val="TableParagraph"/>
              <w:spacing w:before="28"/>
              <w:jc w:val="center"/>
              <w:rPr>
                <w:rFonts w:ascii="Arial" w:eastAsia="Source Sans Pro" w:hAnsi="Arial" w:cs="Arial"/>
                <w:color w:val="000000" w:themeColor="text1"/>
                <w:sz w:val="16"/>
                <w:szCs w:val="16"/>
              </w:rPr>
            </w:pPr>
            <w:r w:rsidRPr="000A69E4">
              <w:rPr>
                <w:color w:val="000000" w:themeColor="text1"/>
                <w:spacing w:val="-2"/>
                <w:sz w:val="16"/>
              </w:rPr>
              <w:t>£2</w:t>
            </w:r>
            <w:r w:rsidR="000A69E4" w:rsidRPr="000A69E4">
              <w:rPr>
                <w:color w:val="000000" w:themeColor="text1"/>
                <w:spacing w:val="-2"/>
                <w:sz w:val="16"/>
              </w:rPr>
              <w:t>5</w:t>
            </w:r>
            <w:r w:rsidRPr="000A69E4">
              <w:rPr>
                <w:color w:val="000000" w:themeColor="text1"/>
                <w:spacing w:val="-2"/>
                <w:sz w:val="16"/>
              </w:rPr>
              <w:t>,</w:t>
            </w:r>
            <w:r w:rsidR="000A69E4" w:rsidRPr="000A69E4">
              <w:rPr>
                <w:color w:val="000000" w:themeColor="text1"/>
                <w:spacing w:val="-2"/>
                <w:sz w:val="16"/>
              </w:rPr>
              <w:t>9</w:t>
            </w:r>
            <w:r w:rsidRPr="000A69E4">
              <w:rPr>
                <w:color w:val="000000" w:themeColor="text1"/>
                <w:spacing w:val="-2"/>
                <w:sz w:val="16"/>
              </w:rPr>
              <w:t>00</w:t>
            </w:r>
          </w:p>
        </w:tc>
        <w:tc>
          <w:tcPr>
            <w:tcW w:w="1339" w:type="dxa"/>
            <w:tcBorders>
              <w:top w:val="nil"/>
              <w:left w:val="single" w:sz="8" w:space="0" w:color="000000"/>
              <w:bottom w:val="nil"/>
              <w:right w:val="single" w:sz="8" w:space="0" w:color="000000"/>
            </w:tcBorders>
          </w:tcPr>
          <w:p w14:paraId="3811B845" w14:textId="4C84CEFD" w:rsidR="00CF7ED5" w:rsidRPr="00E82458" w:rsidRDefault="00CF7ED5" w:rsidP="005D4764">
            <w:pPr>
              <w:pStyle w:val="TableParagraph"/>
              <w:spacing w:before="28"/>
              <w:jc w:val="center"/>
              <w:rPr>
                <w:rFonts w:ascii="Arial" w:eastAsia="Source Sans Pro" w:hAnsi="Arial" w:cs="Arial"/>
                <w:color w:val="000000" w:themeColor="text1"/>
                <w:sz w:val="16"/>
                <w:szCs w:val="16"/>
              </w:rPr>
            </w:pPr>
            <w:r w:rsidRPr="00E82458">
              <w:rPr>
                <w:color w:val="000000" w:themeColor="text1"/>
                <w:spacing w:val="-2"/>
                <w:sz w:val="16"/>
              </w:rPr>
              <w:t>£2</w:t>
            </w:r>
            <w:r w:rsidR="00E82458" w:rsidRPr="00E82458">
              <w:rPr>
                <w:color w:val="000000" w:themeColor="text1"/>
                <w:spacing w:val="-2"/>
                <w:sz w:val="16"/>
              </w:rPr>
              <w:t>6</w:t>
            </w:r>
            <w:r w:rsidRPr="00E82458">
              <w:rPr>
                <w:color w:val="000000" w:themeColor="text1"/>
                <w:spacing w:val="-2"/>
                <w:sz w:val="16"/>
              </w:rPr>
              <w:t>,</w:t>
            </w:r>
            <w:r w:rsidR="00E82458" w:rsidRPr="00E82458">
              <w:rPr>
                <w:color w:val="000000" w:themeColor="text1"/>
                <w:spacing w:val="-2"/>
                <w:sz w:val="16"/>
              </w:rPr>
              <w:t>2</w:t>
            </w:r>
            <w:r w:rsidRPr="00E82458">
              <w:rPr>
                <w:color w:val="000000" w:themeColor="text1"/>
                <w:spacing w:val="-2"/>
                <w:sz w:val="16"/>
              </w:rPr>
              <w:t>00</w:t>
            </w:r>
          </w:p>
        </w:tc>
        <w:tc>
          <w:tcPr>
            <w:tcW w:w="1339" w:type="dxa"/>
            <w:tcBorders>
              <w:top w:val="nil"/>
              <w:left w:val="single" w:sz="8" w:space="0" w:color="000000"/>
              <w:bottom w:val="nil"/>
              <w:right w:val="single" w:sz="8" w:space="0" w:color="000000"/>
            </w:tcBorders>
          </w:tcPr>
          <w:p w14:paraId="1AD70E3A" w14:textId="0A06E9B8" w:rsidR="00CF7ED5" w:rsidRPr="00E82458" w:rsidRDefault="00CF7ED5" w:rsidP="005D4764">
            <w:pPr>
              <w:pStyle w:val="TableParagraph"/>
              <w:spacing w:before="28"/>
              <w:jc w:val="center"/>
              <w:rPr>
                <w:rFonts w:ascii="Arial" w:eastAsia="Source Sans Pro" w:hAnsi="Arial" w:cs="Arial"/>
                <w:color w:val="000000" w:themeColor="text1"/>
                <w:sz w:val="16"/>
                <w:szCs w:val="16"/>
              </w:rPr>
            </w:pPr>
            <w:r w:rsidRPr="00E82458">
              <w:rPr>
                <w:color w:val="000000" w:themeColor="text1"/>
                <w:spacing w:val="-2"/>
                <w:sz w:val="16"/>
              </w:rPr>
              <w:t>£2</w:t>
            </w:r>
            <w:r w:rsidR="00E82458" w:rsidRPr="00E82458">
              <w:rPr>
                <w:color w:val="000000" w:themeColor="text1"/>
                <w:spacing w:val="-2"/>
                <w:sz w:val="16"/>
              </w:rPr>
              <w:t>5</w:t>
            </w:r>
            <w:r w:rsidR="005F2463" w:rsidRPr="00E82458">
              <w:rPr>
                <w:color w:val="000000" w:themeColor="text1"/>
                <w:spacing w:val="-2"/>
                <w:sz w:val="16"/>
              </w:rPr>
              <w:t>,</w:t>
            </w:r>
            <w:r w:rsidR="00E82458" w:rsidRPr="00E82458">
              <w:rPr>
                <w:color w:val="000000" w:themeColor="text1"/>
                <w:spacing w:val="-2"/>
                <w:sz w:val="16"/>
              </w:rPr>
              <w:t>9</w:t>
            </w:r>
            <w:r w:rsidRPr="00E82458">
              <w:rPr>
                <w:color w:val="000000" w:themeColor="text1"/>
                <w:spacing w:val="-2"/>
                <w:sz w:val="16"/>
              </w:rPr>
              <w:t>00</w:t>
            </w:r>
          </w:p>
        </w:tc>
      </w:tr>
      <w:tr w:rsidR="001427F1" w:rsidRPr="001427F1" w14:paraId="6F5C3DFC" w14:textId="77777777" w:rsidTr="008240C8">
        <w:trPr>
          <w:trHeight w:hRule="exact" w:val="281"/>
        </w:trPr>
        <w:tc>
          <w:tcPr>
            <w:tcW w:w="936" w:type="dxa"/>
            <w:tcBorders>
              <w:top w:val="nil"/>
              <w:left w:val="single" w:sz="8" w:space="0" w:color="000000"/>
              <w:bottom w:val="nil"/>
              <w:right w:val="single" w:sz="8" w:space="0" w:color="000000"/>
            </w:tcBorders>
          </w:tcPr>
          <w:p w14:paraId="6CDD3144" w14:textId="77777777" w:rsidR="00CF7ED5" w:rsidRPr="00A7742C" w:rsidRDefault="00CF7ED5" w:rsidP="005D4764">
            <w:pPr>
              <w:pStyle w:val="TableParagraph"/>
              <w:spacing w:before="28"/>
              <w:ind w:left="5"/>
              <w:jc w:val="center"/>
              <w:rPr>
                <w:rFonts w:ascii="Arial" w:eastAsia="Source Sans Pro" w:hAnsi="Arial" w:cs="Arial"/>
                <w:color w:val="000000" w:themeColor="text1"/>
                <w:sz w:val="16"/>
                <w:szCs w:val="16"/>
              </w:rPr>
            </w:pPr>
            <w:r w:rsidRPr="00A7742C">
              <w:rPr>
                <w:rFonts w:ascii="Arial" w:hAnsi="Arial" w:cs="Arial"/>
                <w:b/>
                <w:color w:val="000000" w:themeColor="text1"/>
                <w:w w:val="105"/>
                <w:sz w:val="16"/>
                <w:szCs w:val="16"/>
              </w:rPr>
              <w:t>3</w:t>
            </w:r>
          </w:p>
        </w:tc>
        <w:tc>
          <w:tcPr>
            <w:tcW w:w="1339" w:type="dxa"/>
            <w:tcBorders>
              <w:top w:val="nil"/>
              <w:left w:val="single" w:sz="8" w:space="0" w:color="000000"/>
              <w:bottom w:val="nil"/>
              <w:right w:val="single" w:sz="8" w:space="0" w:color="000000"/>
            </w:tcBorders>
          </w:tcPr>
          <w:p w14:paraId="7CB7E686" w14:textId="5BEC8F3D" w:rsidR="00CF7ED5" w:rsidRPr="001427F1" w:rsidRDefault="00CF7ED5" w:rsidP="005D4764">
            <w:pPr>
              <w:pStyle w:val="TableParagraph"/>
              <w:spacing w:before="28"/>
              <w:jc w:val="center"/>
              <w:rPr>
                <w:rFonts w:ascii="Arial" w:eastAsia="Source Sans Pro" w:hAnsi="Arial" w:cs="Arial"/>
                <w:color w:val="FF0000"/>
                <w:sz w:val="16"/>
                <w:szCs w:val="16"/>
              </w:rPr>
            </w:pPr>
            <w:r w:rsidRPr="00A7742C">
              <w:rPr>
                <w:color w:val="000000" w:themeColor="text1"/>
                <w:spacing w:val="-2"/>
                <w:sz w:val="16"/>
              </w:rPr>
              <w:t>£2</w:t>
            </w:r>
            <w:r w:rsidR="00A7742C" w:rsidRPr="00A7742C">
              <w:rPr>
                <w:color w:val="000000" w:themeColor="text1"/>
                <w:spacing w:val="-2"/>
                <w:sz w:val="16"/>
              </w:rPr>
              <w:t>6</w:t>
            </w:r>
            <w:r w:rsidRPr="00A7742C">
              <w:rPr>
                <w:color w:val="000000" w:themeColor="text1"/>
                <w:spacing w:val="-2"/>
                <w:sz w:val="16"/>
              </w:rPr>
              <w:t>,</w:t>
            </w:r>
            <w:r w:rsidR="00A7742C" w:rsidRPr="00A7742C">
              <w:rPr>
                <w:color w:val="000000" w:themeColor="text1"/>
                <w:spacing w:val="-2"/>
                <w:sz w:val="16"/>
              </w:rPr>
              <w:t>6</w:t>
            </w:r>
            <w:r w:rsidRPr="00A7742C">
              <w:rPr>
                <w:color w:val="000000" w:themeColor="text1"/>
                <w:spacing w:val="-2"/>
                <w:sz w:val="16"/>
              </w:rPr>
              <w:t>00</w:t>
            </w:r>
          </w:p>
        </w:tc>
        <w:tc>
          <w:tcPr>
            <w:tcW w:w="1339" w:type="dxa"/>
            <w:tcBorders>
              <w:top w:val="nil"/>
              <w:left w:val="single" w:sz="8" w:space="0" w:color="000000"/>
              <w:bottom w:val="nil"/>
              <w:right w:val="single" w:sz="8" w:space="0" w:color="000000"/>
            </w:tcBorders>
          </w:tcPr>
          <w:p w14:paraId="3613A761" w14:textId="619B3E4E" w:rsidR="00CF7ED5" w:rsidRPr="00A7742C" w:rsidRDefault="00CF7ED5" w:rsidP="005D4764">
            <w:pPr>
              <w:pStyle w:val="TableParagraph"/>
              <w:spacing w:before="28"/>
              <w:jc w:val="center"/>
              <w:rPr>
                <w:rFonts w:ascii="Arial" w:eastAsia="Source Sans Pro" w:hAnsi="Arial" w:cs="Arial"/>
                <w:color w:val="000000" w:themeColor="text1"/>
                <w:sz w:val="16"/>
                <w:szCs w:val="16"/>
              </w:rPr>
            </w:pPr>
            <w:r w:rsidRPr="00A7742C">
              <w:rPr>
                <w:color w:val="000000" w:themeColor="text1"/>
                <w:spacing w:val="-2"/>
                <w:sz w:val="16"/>
              </w:rPr>
              <w:t>£2</w:t>
            </w:r>
            <w:r w:rsidR="00D3291C" w:rsidRPr="00A7742C">
              <w:rPr>
                <w:color w:val="000000" w:themeColor="text1"/>
                <w:spacing w:val="-2"/>
                <w:sz w:val="16"/>
              </w:rPr>
              <w:t>6</w:t>
            </w:r>
            <w:r w:rsidRPr="00A7742C">
              <w:rPr>
                <w:color w:val="000000" w:themeColor="text1"/>
                <w:spacing w:val="-2"/>
                <w:sz w:val="16"/>
              </w:rPr>
              <w:t>,</w:t>
            </w:r>
            <w:r w:rsidR="00A7742C" w:rsidRPr="00A7742C">
              <w:rPr>
                <w:color w:val="000000" w:themeColor="text1"/>
                <w:spacing w:val="-2"/>
                <w:sz w:val="16"/>
              </w:rPr>
              <w:t>1</w:t>
            </w:r>
            <w:r w:rsidRPr="00A7742C">
              <w:rPr>
                <w:color w:val="000000" w:themeColor="text1"/>
                <w:spacing w:val="-2"/>
                <w:sz w:val="16"/>
              </w:rPr>
              <w:t>00</w:t>
            </w:r>
          </w:p>
        </w:tc>
        <w:tc>
          <w:tcPr>
            <w:tcW w:w="1339" w:type="dxa"/>
            <w:tcBorders>
              <w:top w:val="nil"/>
              <w:left w:val="single" w:sz="8" w:space="0" w:color="000000"/>
              <w:bottom w:val="nil"/>
              <w:right w:val="single" w:sz="8" w:space="0" w:color="000000"/>
            </w:tcBorders>
          </w:tcPr>
          <w:p w14:paraId="2B090217" w14:textId="36857C42" w:rsidR="00CF7ED5" w:rsidRPr="00A7742C" w:rsidRDefault="00CF7ED5" w:rsidP="005D4764">
            <w:pPr>
              <w:pStyle w:val="TableParagraph"/>
              <w:spacing w:before="28"/>
              <w:jc w:val="center"/>
              <w:rPr>
                <w:rFonts w:ascii="Arial" w:eastAsia="Source Sans Pro" w:hAnsi="Arial" w:cs="Arial"/>
                <w:color w:val="000000" w:themeColor="text1"/>
                <w:sz w:val="16"/>
                <w:szCs w:val="16"/>
              </w:rPr>
            </w:pPr>
            <w:r w:rsidRPr="00A7742C">
              <w:rPr>
                <w:color w:val="000000" w:themeColor="text1"/>
                <w:spacing w:val="-2"/>
                <w:sz w:val="16"/>
              </w:rPr>
              <w:t>£2</w:t>
            </w:r>
            <w:r w:rsidR="00A7742C" w:rsidRPr="00A7742C">
              <w:rPr>
                <w:color w:val="000000" w:themeColor="text1"/>
                <w:spacing w:val="-2"/>
                <w:sz w:val="16"/>
              </w:rPr>
              <w:t>6</w:t>
            </w:r>
            <w:r w:rsidRPr="00A7742C">
              <w:rPr>
                <w:color w:val="000000" w:themeColor="text1"/>
                <w:spacing w:val="-2"/>
                <w:sz w:val="16"/>
              </w:rPr>
              <w:t>,</w:t>
            </w:r>
            <w:r w:rsidR="00A7742C" w:rsidRPr="00A7742C">
              <w:rPr>
                <w:color w:val="000000" w:themeColor="text1"/>
                <w:spacing w:val="-2"/>
                <w:sz w:val="16"/>
              </w:rPr>
              <w:t>9</w:t>
            </w:r>
            <w:r w:rsidRPr="00A7742C">
              <w:rPr>
                <w:color w:val="000000" w:themeColor="text1"/>
                <w:spacing w:val="-2"/>
                <w:sz w:val="16"/>
              </w:rPr>
              <w:t>00</w:t>
            </w:r>
          </w:p>
        </w:tc>
        <w:tc>
          <w:tcPr>
            <w:tcW w:w="1339" w:type="dxa"/>
            <w:tcBorders>
              <w:top w:val="nil"/>
              <w:left w:val="single" w:sz="8" w:space="0" w:color="000000"/>
              <w:bottom w:val="nil"/>
              <w:right w:val="single" w:sz="8" w:space="0" w:color="000000"/>
            </w:tcBorders>
          </w:tcPr>
          <w:p w14:paraId="13A1FBA2" w14:textId="19947028" w:rsidR="00CF7ED5" w:rsidRPr="000A69E4" w:rsidRDefault="00CF7ED5" w:rsidP="005D4764">
            <w:pPr>
              <w:pStyle w:val="TableParagraph"/>
              <w:spacing w:before="28"/>
              <w:jc w:val="center"/>
              <w:rPr>
                <w:rFonts w:ascii="Arial" w:eastAsia="Source Sans Pro" w:hAnsi="Arial" w:cs="Arial"/>
                <w:color w:val="000000" w:themeColor="text1"/>
                <w:sz w:val="16"/>
                <w:szCs w:val="16"/>
              </w:rPr>
            </w:pPr>
            <w:r w:rsidRPr="000A69E4">
              <w:rPr>
                <w:color w:val="000000" w:themeColor="text1"/>
                <w:spacing w:val="-2"/>
                <w:sz w:val="16"/>
              </w:rPr>
              <w:t>£2</w:t>
            </w:r>
            <w:r w:rsidR="000A69E4" w:rsidRPr="000A69E4">
              <w:rPr>
                <w:color w:val="000000" w:themeColor="text1"/>
                <w:spacing w:val="-2"/>
                <w:sz w:val="16"/>
              </w:rPr>
              <w:t>6</w:t>
            </w:r>
            <w:r w:rsidRPr="000A69E4">
              <w:rPr>
                <w:color w:val="000000" w:themeColor="text1"/>
                <w:spacing w:val="-2"/>
                <w:sz w:val="16"/>
              </w:rPr>
              <w:t>,</w:t>
            </w:r>
            <w:r w:rsidR="000A69E4" w:rsidRPr="000A69E4">
              <w:rPr>
                <w:color w:val="000000" w:themeColor="text1"/>
                <w:spacing w:val="-2"/>
                <w:sz w:val="16"/>
              </w:rPr>
              <w:t>3</w:t>
            </w:r>
            <w:r w:rsidRPr="000A69E4">
              <w:rPr>
                <w:color w:val="000000" w:themeColor="text1"/>
                <w:spacing w:val="-2"/>
                <w:sz w:val="16"/>
              </w:rPr>
              <w:t>00</w:t>
            </w:r>
          </w:p>
        </w:tc>
        <w:tc>
          <w:tcPr>
            <w:tcW w:w="1339" w:type="dxa"/>
            <w:tcBorders>
              <w:top w:val="nil"/>
              <w:left w:val="single" w:sz="8" w:space="0" w:color="000000"/>
              <w:bottom w:val="nil"/>
              <w:right w:val="single" w:sz="8" w:space="0" w:color="000000"/>
            </w:tcBorders>
          </w:tcPr>
          <w:p w14:paraId="483F3012" w14:textId="2BCF564E" w:rsidR="00CF7ED5" w:rsidRPr="00E82458" w:rsidRDefault="00CF7ED5" w:rsidP="005D4764">
            <w:pPr>
              <w:pStyle w:val="TableParagraph"/>
              <w:spacing w:before="28"/>
              <w:jc w:val="center"/>
              <w:rPr>
                <w:rFonts w:ascii="Arial" w:eastAsia="Source Sans Pro" w:hAnsi="Arial" w:cs="Arial"/>
                <w:color w:val="000000" w:themeColor="text1"/>
                <w:sz w:val="16"/>
                <w:szCs w:val="16"/>
              </w:rPr>
            </w:pPr>
            <w:r w:rsidRPr="00E82458">
              <w:rPr>
                <w:color w:val="000000" w:themeColor="text1"/>
                <w:spacing w:val="-2"/>
                <w:sz w:val="16"/>
              </w:rPr>
              <w:t>£2</w:t>
            </w:r>
            <w:r w:rsidR="00E82458" w:rsidRPr="00E82458">
              <w:rPr>
                <w:color w:val="000000" w:themeColor="text1"/>
                <w:spacing w:val="-2"/>
                <w:sz w:val="16"/>
              </w:rPr>
              <w:t>6</w:t>
            </w:r>
            <w:r w:rsidRPr="00E82458">
              <w:rPr>
                <w:color w:val="000000" w:themeColor="text1"/>
                <w:spacing w:val="-2"/>
                <w:sz w:val="16"/>
              </w:rPr>
              <w:t>,</w:t>
            </w:r>
            <w:r w:rsidR="00E82458" w:rsidRPr="00E82458">
              <w:rPr>
                <w:color w:val="000000" w:themeColor="text1"/>
                <w:spacing w:val="-2"/>
                <w:sz w:val="16"/>
              </w:rPr>
              <w:t>9</w:t>
            </w:r>
            <w:r w:rsidRPr="00E82458">
              <w:rPr>
                <w:color w:val="000000" w:themeColor="text1"/>
                <w:spacing w:val="-2"/>
                <w:sz w:val="16"/>
              </w:rPr>
              <w:t>00</w:t>
            </w:r>
          </w:p>
        </w:tc>
        <w:tc>
          <w:tcPr>
            <w:tcW w:w="1339" w:type="dxa"/>
            <w:tcBorders>
              <w:top w:val="nil"/>
              <w:left w:val="single" w:sz="8" w:space="0" w:color="000000"/>
              <w:bottom w:val="nil"/>
              <w:right w:val="single" w:sz="8" w:space="0" w:color="000000"/>
            </w:tcBorders>
          </w:tcPr>
          <w:p w14:paraId="3B24018C" w14:textId="54172D29" w:rsidR="00CF7ED5" w:rsidRPr="00E82458" w:rsidRDefault="00CF7ED5" w:rsidP="005D4764">
            <w:pPr>
              <w:pStyle w:val="TableParagraph"/>
              <w:spacing w:before="28"/>
              <w:jc w:val="center"/>
              <w:rPr>
                <w:rFonts w:ascii="Arial" w:eastAsia="Source Sans Pro" w:hAnsi="Arial" w:cs="Arial"/>
                <w:color w:val="000000" w:themeColor="text1"/>
                <w:sz w:val="16"/>
                <w:szCs w:val="16"/>
              </w:rPr>
            </w:pPr>
            <w:r w:rsidRPr="00E82458">
              <w:rPr>
                <w:color w:val="000000" w:themeColor="text1"/>
                <w:spacing w:val="-2"/>
                <w:sz w:val="16"/>
              </w:rPr>
              <w:t>£2</w:t>
            </w:r>
            <w:r w:rsidR="00E82458" w:rsidRPr="00E82458">
              <w:rPr>
                <w:color w:val="000000" w:themeColor="text1"/>
                <w:spacing w:val="-2"/>
                <w:sz w:val="16"/>
              </w:rPr>
              <w:t>6</w:t>
            </w:r>
            <w:r w:rsidRPr="00E82458">
              <w:rPr>
                <w:color w:val="000000" w:themeColor="text1"/>
                <w:spacing w:val="-2"/>
                <w:sz w:val="16"/>
              </w:rPr>
              <w:t>,</w:t>
            </w:r>
            <w:r w:rsidR="00E82458" w:rsidRPr="00E82458">
              <w:rPr>
                <w:color w:val="000000" w:themeColor="text1"/>
                <w:spacing w:val="-2"/>
                <w:sz w:val="16"/>
              </w:rPr>
              <w:t>3</w:t>
            </w:r>
            <w:r w:rsidRPr="00E82458">
              <w:rPr>
                <w:color w:val="000000" w:themeColor="text1"/>
                <w:spacing w:val="-2"/>
                <w:sz w:val="16"/>
              </w:rPr>
              <w:t>00</w:t>
            </w:r>
          </w:p>
        </w:tc>
      </w:tr>
      <w:tr w:rsidR="001427F1" w:rsidRPr="001427F1" w14:paraId="6616B34D" w14:textId="77777777" w:rsidTr="008240C8">
        <w:trPr>
          <w:trHeight w:hRule="exact" w:val="281"/>
        </w:trPr>
        <w:tc>
          <w:tcPr>
            <w:tcW w:w="936" w:type="dxa"/>
            <w:tcBorders>
              <w:top w:val="nil"/>
              <w:left w:val="single" w:sz="8" w:space="0" w:color="000000"/>
              <w:bottom w:val="nil"/>
              <w:right w:val="single" w:sz="8" w:space="0" w:color="000000"/>
            </w:tcBorders>
          </w:tcPr>
          <w:p w14:paraId="40C2DC7D" w14:textId="77777777" w:rsidR="00CF7ED5" w:rsidRPr="00A7742C" w:rsidRDefault="00CF7ED5" w:rsidP="005D4764">
            <w:pPr>
              <w:pStyle w:val="TableParagraph"/>
              <w:spacing w:before="28"/>
              <w:ind w:left="5"/>
              <w:jc w:val="center"/>
              <w:rPr>
                <w:rFonts w:ascii="Arial" w:eastAsia="Source Sans Pro" w:hAnsi="Arial" w:cs="Arial"/>
                <w:color w:val="000000" w:themeColor="text1"/>
                <w:sz w:val="16"/>
                <w:szCs w:val="16"/>
              </w:rPr>
            </w:pPr>
            <w:r w:rsidRPr="00A7742C">
              <w:rPr>
                <w:rFonts w:ascii="Arial" w:hAnsi="Arial" w:cs="Arial"/>
                <w:b/>
                <w:color w:val="000000" w:themeColor="text1"/>
                <w:w w:val="105"/>
                <w:sz w:val="16"/>
                <w:szCs w:val="16"/>
              </w:rPr>
              <w:t>4</w:t>
            </w:r>
          </w:p>
        </w:tc>
        <w:tc>
          <w:tcPr>
            <w:tcW w:w="1339" w:type="dxa"/>
            <w:tcBorders>
              <w:top w:val="nil"/>
              <w:left w:val="single" w:sz="8" w:space="0" w:color="000000"/>
              <w:bottom w:val="nil"/>
              <w:right w:val="single" w:sz="8" w:space="0" w:color="000000"/>
            </w:tcBorders>
          </w:tcPr>
          <w:p w14:paraId="0E918FA4" w14:textId="73DED46B" w:rsidR="00CF7ED5" w:rsidRPr="00A7742C" w:rsidRDefault="00CF7ED5" w:rsidP="005D4764">
            <w:pPr>
              <w:pStyle w:val="TableParagraph"/>
              <w:spacing w:before="28"/>
              <w:jc w:val="center"/>
              <w:rPr>
                <w:rFonts w:ascii="Arial" w:eastAsia="Source Sans Pro" w:hAnsi="Arial" w:cs="Arial"/>
                <w:color w:val="000000" w:themeColor="text1"/>
                <w:sz w:val="16"/>
                <w:szCs w:val="16"/>
              </w:rPr>
            </w:pPr>
            <w:r w:rsidRPr="00A7742C">
              <w:rPr>
                <w:color w:val="000000" w:themeColor="text1"/>
                <w:spacing w:val="-2"/>
                <w:sz w:val="16"/>
              </w:rPr>
              <w:t>£2</w:t>
            </w:r>
            <w:r w:rsidR="00A7742C" w:rsidRPr="00A7742C">
              <w:rPr>
                <w:color w:val="000000" w:themeColor="text1"/>
                <w:spacing w:val="-2"/>
                <w:sz w:val="16"/>
              </w:rPr>
              <w:t>7</w:t>
            </w:r>
            <w:r w:rsidRPr="00A7742C">
              <w:rPr>
                <w:color w:val="000000" w:themeColor="text1"/>
                <w:spacing w:val="-2"/>
                <w:sz w:val="16"/>
              </w:rPr>
              <w:t>,</w:t>
            </w:r>
            <w:r w:rsidR="00A7742C">
              <w:rPr>
                <w:color w:val="000000" w:themeColor="text1"/>
                <w:spacing w:val="-2"/>
                <w:sz w:val="16"/>
              </w:rPr>
              <w:t>2</w:t>
            </w:r>
            <w:r w:rsidRPr="00A7742C">
              <w:rPr>
                <w:color w:val="000000" w:themeColor="text1"/>
                <w:spacing w:val="-2"/>
                <w:sz w:val="16"/>
              </w:rPr>
              <w:t>00</w:t>
            </w:r>
          </w:p>
        </w:tc>
        <w:tc>
          <w:tcPr>
            <w:tcW w:w="1339" w:type="dxa"/>
            <w:tcBorders>
              <w:top w:val="nil"/>
              <w:left w:val="single" w:sz="8" w:space="0" w:color="000000"/>
              <w:bottom w:val="nil"/>
              <w:right w:val="single" w:sz="8" w:space="0" w:color="000000"/>
            </w:tcBorders>
          </w:tcPr>
          <w:p w14:paraId="01402D18" w14:textId="5DE42377" w:rsidR="00CF7ED5" w:rsidRPr="00A7742C" w:rsidRDefault="00CF7ED5" w:rsidP="005D4764">
            <w:pPr>
              <w:pStyle w:val="TableParagraph"/>
              <w:spacing w:before="28"/>
              <w:jc w:val="center"/>
              <w:rPr>
                <w:rFonts w:ascii="Arial" w:eastAsia="Source Sans Pro" w:hAnsi="Arial" w:cs="Arial"/>
                <w:color w:val="000000" w:themeColor="text1"/>
                <w:sz w:val="16"/>
                <w:szCs w:val="16"/>
              </w:rPr>
            </w:pPr>
            <w:r w:rsidRPr="00A7742C">
              <w:rPr>
                <w:color w:val="000000" w:themeColor="text1"/>
                <w:spacing w:val="-2"/>
                <w:sz w:val="16"/>
              </w:rPr>
              <w:t>£2</w:t>
            </w:r>
            <w:r w:rsidR="00A7742C" w:rsidRPr="00A7742C">
              <w:rPr>
                <w:color w:val="000000" w:themeColor="text1"/>
                <w:spacing w:val="-2"/>
                <w:sz w:val="16"/>
              </w:rPr>
              <w:t>6</w:t>
            </w:r>
            <w:r w:rsidRPr="00A7742C">
              <w:rPr>
                <w:color w:val="000000" w:themeColor="text1"/>
                <w:spacing w:val="-2"/>
                <w:sz w:val="16"/>
              </w:rPr>
              <w:t>,</w:t>
            </w:r>
            <w:r w:rsidR="00A7742C" w:rsidRPr="00A7742C">
              <w:rPr>
                <w:color w:val="000000" w:themeColor="text1"/>
                <w:spacing w:val="-2"/>
                <w:sz w:val="16"/>
              </w:rPr>
              <w:t>5</w:t>
            </w:r>
            <w:r w:rsidRPr="00A7742C">
              <w:rPr>
                <w:color w:val="000000" w:themeColor="text1"/>
                <w:spacing w:val="-2"/>
                <w:sz w:val="16"/>
              </w:rPr>
              <w:t>00</w:t>
            </w:r>
          </w:p>
        </w:tc>
        <w:tc>
          <w:tcPr>
            <w:tcW w:w="1339" w:type="dxa"/>
            <w:tcBorders>
              <w:top w:val="nil"/>
              <w:left w:val="single" w:sz="8" w:space="0" w:color="000000"/>
              <w:bottom w:val="nil"/>
              <w:right w:val="single" w:sz="8" w:space="0" w:color="000000"/>
            </w:tcBorders>
          </w:tcPr>
          <w:p w14:paraId="160EB322" w14:textId="2DBB17EF" w:rsidR="00CF7ED5" w:rsidRPr="00A7742C" w:rsidRDefault="00CF7ED5" w:rsidP="005D4764">
            <w:pPr>
              <w:pStyle w:val="TableParagraph"/>
              <w:spacing w:before="28"/>
              <w:jc w:val="center"/>
              <w:rPr>
                <w:rFonts w:ascii="Arial" w:eastAsia="Source Sans Pro" w:hAnsi="Arial" w:cs="Arial"/>
                <w:color w:val="000000" w:themeColor="text1"/>
                <w:sz w:val="16"/>
                <w:szCs w:val="16"/>
              </w:rPr>
            </w:pPr>
            <w:r w:rsidRPr="00A7742C">
              <w:rPr>
                <w:color w:val="000000" w:themeColor="text1"/>
                <w:spacing w:val="-2"/>
                <w:sz w:val="16"/>
              </w:rPr>
              <w:t>£2</w:t>
            </w:r>
            <w:r w:rsidR="00A7742C" w:rsidRPr="00A7742C">
              <w:rPr>
                <w:color w:val="000000" w:themeColor="text1"/>
                <w:spacing w:val="-2"/>
                <w:sz w:val="16"/>
              </w:rPr>
              <w:t>7</w:t>
            </w:r>
            <w:r w:rsidRPr="00A7742C">
              <w:rPr>
                <w:color w:val="000000" w:themeColor="text1"/>
                <w:spacing w:val="-2"/>
                <w:sz w:val="16"/>
              </w:rPr>
              <w:t>,</w:t>
            </w:r>
            <w:r w:rsidR="005976EC" w:rsidRPr="00A7742C">
              <w:rPr>
                <w:color w:val="000000" w:themeColor="text1"/>
                <w:spacing w:val="-2"/>
                <w:sz w:val="16"/>
              </w:rPr>
              <w:t>5</w:t>
            </w:r>
            <w:r w:rsidRPr="00A7742C">
              <w:rPr>
                <w:color w:val="000000" w:themeColor="text1"/>
                <w:spacing w:val="-2"/>
                <w:sz w:val="16"/>
              </w:rPr>
              <w:t>00</w:t>
            </w:r>
          </w:p>
        </w:tc>
        <w:tc>
          <w:tcPr>
            <w:tcW w:w="1339" w:type="dxa"/>
            <w:tcBorders>
              <w:top w:val="nil"/>
              <w:left w:val="single" w:sz="8" w:space="0" w:color="000000"/>
              <w:bottom w:val="nil"/>
              <w:right w:val="single" w:sz="8" w:space="0" w:color="000000"/>
            </w:tcBorders>
          </w:tcPr>
          <w:p w14:paraId="4CFAE8C8" w14:textId="31125970" w:rsidR="00CF7ED5" w:rsidRPr="000A69E4" w:rsidRDefault="00CF7ED5" w:rsidP="005D4764">
            <w:pPr>
              <w:pStyle w:val="TableParagraph"/>
              <w:spacing w:before="28"/>
              <w:jc w:val="center"/>
              <w:rPr>
                <w:rFonts w:ascii="Arial" w:eastAsia="Source Sans Pro" w:hAnsi="Arial" w:cs="Arial"/>
                <w:color w:val="000000" w:themeColor="text1"/>
                <w:sz w:val="16"/>
                <w:szCs w:val="16"/>
              </w:rPr>
            </w:pPr>
            <w:r w:rsidRPr="000A69E4">
              <w:rPr>
                <w:color w:val="000000" w:themeColor="text1"/>
                <w:spacing w:val="-2"/>
                <w:sz w:val="16"/>
              </w:rPr>
              <w:t>£2</w:t>
            </w:r>
            <w:r w:rsidR="000A69E4" w:rsidRPr="000A69E4">
              <w:rPr>
                <w:color w:val="000000" w:themeColor="text1"/>
                <w:spacing w:val="-2"/>
                <w:sz w:val="16"/>
              </w:rPr>
              <w:t>6</w:t>
            </w:r>
            <w:r w:rsidRPr="000A69E4">
              <w:rPr>
                <w:color w:val="000000" w:themeColor="text1"/>
                <w:spacing w:val="-2"/>
                <w:sz w:val="16"/>
              </w:rPr>
              <w:t>,</w:t>
            </w:r>
            <w:r w:rsidR="000A69E4" w:rsidRPr="000A69E4">
              <w:rPr>
                <w:color w:val="000000" w:themeColor="text1"/>
                <w:spacing w:val="-2"/>
                <w:sz w:val="16"/>
              </w:rPr>
              <w:t>8</w:t>
            </w:r>
            <w:r w:rsidRPr="000A69E4">
              <w:rPr>
                <w:color w:val="000000" w:themeColor="text1"/>
                <w:spacing w:val="-2"/>
                <w:sz w:val="16"/>
              </w:rPr>
              <w:t>00</w:t>
            </w:r>
          </w:p>
        </w:tc>
        <w:tc>
          <w:tcPr>
            <w:tcW w:w="1339" w:type="dxa"/>
            <w:tcBorders>
              <w:top w:val="nil"/>
              <w:left w:val="single" w:sz="8" w:space="0" w:color="000000"/>
              <w:bottom w:val="nil"/>
              <w:right w:val="single" w:sz="8" w:space="0" w:color="000000"/>
            </w:tcBorders>
          </w:tcPr>
          <w:p w14:paraId="50C1264C" w14:textId="32AE8050" w:rsidR="00CF7ED5" w:rsidRPr="00E82458" w:rsidRDefault="00CF7ED5" w:rsidP="005D4764">
            <w:pPr>
              <w:pStyle w:val="TableParagraph"/>
              <w:spacing w:before="28"/>
              <w:jc w:val="center"/>
              <w:rPr>
                <w:rFonts w:ascii="Arial" w:eastAsia="Source Sans Pro" w:hAnsi="Arial" w:cs="Arial"/>
                <w:color w:val="000000" w:themeColor="text1"/>
                <w:sz w:val="16"/>
                <w:szCs w:val="16"/>
              </w:rPr>
            </w:pPr>
            <w:r w:rsidRPr="00E82458">
              <w:rPr>
                <w:color w:val="000000" w:themeColor="text1"/>
                <w:spacing w:val="-2"/>
                <w:sz w:val="16"/>
              </w:rPr>
              <w:t>£2</w:t>
            </w:r>
            <w:r w:rsidR="00E82458" w:rsidRPr="00E82458">
              <w:rPr>
                <w:color w:val="000000" w:themeColor="text1"/>
                <w:spacing w:val="-2"/>
                <w:sz w:val="16"/>
              </w:rPr>
              <w:t>7</w:t>
            </w:r>
            <w:r w:rsidRPr="00E82458">
              <w:rPr>
                <w:color w:val="000000" w:themeColor="text1"/>
                <w:spacing w:val="-2"/>
                <w:sz w:val="16"/>
              </w:rPr>
              <w:t>,</w:t>
            </w:r>
            <w:r w:rsidR="00E82458" w:rsidRPr="00E82458">
              <w:rPr>
                <w:color w:val="000000" w:themeColor="text1"/>
                <w:spacing w:val="-2"/>
                <w:sz w:val="16"/>
              </w:rPr>
              <w:t>5</w:t>
            </w:r>
            <w:r w:rsidRPr="00E82458">
              <w:rPr>
                <w:color w:val="000000" w:themeColor="text1"/>
                <w:spacing w:val="-2"/>
                <w:sz w:val="16"/>
              </w:rPr>
              <w:t>00</w:t>
            </w:r>
          </w:p>
        </w:tc>
        <w:tc>
          <w:tcPr>
            <w:tcW w:w="1339" w:type="dxa"/>
            <w:tcBorders>
              <w:top w:val="nil"/>
              <w:left w:val="single" w:sz="8" w:space="0" w:color="000000"/>
              <w:bottom w:val="nil"/>
              <w:right w:val="single" w:sz="8" w:space="0" w:color="000000"/>
            </w:tcBorders>
          </w:tcPr>
          <w:p w14:paraId="1CE7077B" w14:textId="2B403BAD" w:rsidR="00CF7ED5" w:rsidRPr="00E82458" w:rsidRDefault="00CF7ED5" w:rsidP="005D4764">
            <w:pPr>
              <w:pStyle w:val="TableParagraph"/>
              <w:spacing w:before="28"/>
              <w:jc w:val="center"/>
              <w:rPr>
                <w:rFonts w:ascii="Arial" w:eastAsia="Source Sans Pro" w:hAnsi="Arial" w:cs="Arial"/>
                <w:color w:val="000000" w:themeColor="text1"/>
                <w:sz w:val="16"/>
                <w:szCs w:val="16"/>
              </w:rPr>
            </w:pPr>
            <w:r w:rsidRPr="00E82458">
              <w:rPr>
                <w:color w:val="000000" w:themeColor="text1"/>
                <w:spacing w:val="-2"/>
                <w:sz w:val="16"/>
              </w:rPr>
              <w:t>£2</w:t>
            </w:r>
            <w:r w:rsidR="00E82458" w:rsidRPr="00E82458">
              <w:rPr>
                <w:color w:val="000000" w:themeColor="text1"/>
                <w:spacing w:val="-2"/>
                <w:sz w:val="16"/>
              </w:rPr>
              <w:t>6</w:t>
            </w:r>
            <w:r w:rsidRPr="00E82458">
              <w:rPr>
                <w:color w:val="000000" w:themeColor="text1"/>
                <w:spacing w:val="-2"/>
                <w:sz w:val="16"/>
              </w:rPr>
              <w:t>,</w:t>
            </w:r>
            <w:r w:rsidR="00E82458" w:rsidRPr="00E82458">
              <w:rPr>
                <w:color w:val="000000" w:themeColor="text1"/>
                <w:spacing w:val="-2"/>
                <w:sz w:val="16"/>
              </w:rPr>
              <w:t>8</w:t>
            </w:r>
            <w:r w:rsidRPr="00E82458">
              <w:rPr>
                <w:color w:val="000000" w:themeColor="text1"/>
                <w:spacing w:val="-2"/>
                <w:sz w:val="16"/>
              </w:rPr>
              <w:t>00</w:t>
            </w:r>
          </w:p>
        </w:tc>
      </w:tr>
      <w:tr w:rsidR="001427F1" w:rsidRPr="001427F1" w14:paraId="3C6ADEA2" w14:textId="77777777" w:rsidTr="008240C8">
        <w:trPr>
          <w:trHeight w:hRule="exact" w:val="281"/>
        </w:trPr>
        <w:tc>
          <w:tcPr>
            <w:tcW w:w="936" w:type="dxa"/>
            <w:tcBorders>
              <w:top w:val="nil"/>
              <w:left w:val="single" w:sz="8" w:space="0" w:color="000000"/>
              <w:bottom w:val="nil"/>
              <w:right w:val="single" w:sz="8" w:space="0" w:color="000000"/>
            </w:tcBorders>
          </w:tcPr>
          <w:p w14:paraId="0FE984F7" w14:textId="77777777" w:rsidR="00CF7ED5" w:rsidRPr="00A7742C" w:rsidRDefault="00CF7ED5" w:rsidP="005D4764">
            <w:pPr>
              <w:pStyle w:val="TableParagraph"/>
              <w:spacing w:before="28"/>
              <w:ind w:left="5"/>
              <w:jc w:val="center"/>
              <w:rPr>
                <w:rFonts w:ascii="Arial" w:eastAsia="Source Sans Pro" w:hAnsi="Arial" w:cs="Arial"/>
                <w:color w:val="000000" w:themeColor="text1"/>
                <w:sz w:val="16"/>
                <w:szCs w:val="16"/>
              </w:rPr>
            </w:pPr>
            <w:r w:rsidRPr="00A7742C">
              <w:rPr>
                <w:rFonts w:ascii="Arial" w:hAnsi="Arial" w:cs="Arial"/>
                <w:b/>
                <w:color w:val="000000" w:themeColor="text1"/>
                <w:w w:val="105"/>
                <w:sz w:val="16"/>
                <w:szCs w:val="16"/>
              </w:rPr>
              <w:t>5</w:t>
            </w:r>
          </w:p>
        </w:tc>
        <w:tc>
          <w:tcPr>
            <w:tcW w:w="1339" w:type="dxa"/>
            <w:tcBorders>
              <w:top w:val="nil"/>
              <w:left w:val="single" w:sz="8" w:space="0" w:color="000000"/>
              <w:bottom w:val="nil"/>
              <w:right w:val="single" w:sz="8" w:space="0" w:color="000000"/>
            </w:tcBorders>
          </w:tcPr>
          <w:p w14:paraId="0C9EB21A" w14:textId="3379A4B8" w:rsidR="00CF7ED5" w:rsidRPr="001427F1" w:rsidRDefault="00CF7ED5" w:rsidP="005D4764">
            <w:pPr>
              <w:pStyle w:val="TableParagraph"/>
              <w:spacing w:before="28"/>
              <w:jc w:val="center"/>
              <w:rPr>
                <w:rFonts w:ascii="Arial" w:eastAsia="Source Sans Pro" w:hAnsi="Arial" w:cs="Arial"/>
                <w:color w:val="FF0000"/>
                <w:sz w:val="16"/>
                <w:szCs w:val="16"/>
              </w:rPr>
            </w:pPr>
            <w:r w:rsidRPr="00A7742C">
              <w:rPr>
                <w:color w:val="000000" w:themeColor="text1"/>
                <w:spacing w:val="-2"/>
                <w:sz w:val="16"/>
              </w:rPr>
              <w:t>£</w:t>
            </w:r>
            <w:r w:rsidR="00A7742C" w:rsidRPr="00A7742C">
              <w:rPr>
                <w:color w:val="000000" w:themeColor="text1"/>
                <w:spacing w:val="-2"/>
                <w:sz w:val="16"/>
              </w:rPr>
              <w:t>27,80</w:t>
            </w:r>
            <w:r w:rsidRPr="00A7742C">
              <w:rPr>
                <w:color w:val="000000" w:themeColor="text1"/>
                <w:spacing w:val="-2"/>
                <w:sz w:val="16"/>
              </w:rPr>
              <w:t>0</w:t>
            </w:r>
          </w:p>
        </w:tc>
        <w:tc>
          <w:tcPr>
            <w:tcW w:w="1339" w:type="dxa"/>
            <w:tcBorders>
              <w:top w:val="nil"/>
              <w:left w:val="single" w:sz="8" w:space="0" w:color="000000"/>
              <w:bottom w:val="nil"/>
              <w:right w:val="single" w:sz="8" w:space="0" w:color="000000"/>
            </w:tcBorders>
          </w:tcPr>
          <w:p w14:paraId="3F235607" w14:textId="66BB037B" w:rsidR="00CF7ED5" w:rsidRPr="00A7742C" w:rsidRDefault="00CF7ED5" w:rsidP="005D4764">
            <w:pPr>
              <w:pStyle w:val="TableParagraph"/>
              <w:spacing w:before="28"/>
              <w:jc w:val="center"/>
              <w:rPr>
                <w:rFonts w:ascii="Arial" w:eastAsia="Source Sans Pro" w:hAnsi="Arial" w:cs="Arial"/>
                <w:color w:val="000000" w:themeColor="text1"/>
                <w:sz w:val="16"/>
                <w:szCs w:val="16"/>
              </w:rPr>
            </w:pPr>
            <w:r w:rsidRPr="00A7742C">
              <w:rPr>
                <w:color w:val="000000" w:themeColor="text1"/>
                <w:spacing w:val="-2"/>
                <w:sz w:val="16"/>
              </w:rPr>
              <w:t>£2</w:t>
            </w:r>
            <w:r w:rsidR="00A7742C" w:rsidRPr="00A7742C">
              <w:rPr>
                <w:color w:val="000000" w:themeColor="text1"/>
                <w:spacing w:val="-2"/>
                <w:sz w:val="16"/>
              </w:rPr>
              <w:t>6</w:t>
            </w:r>
            <w:r w:rsidRPr="00A7742C">
              <w:rPr>
                <w:color w:val="000000" w:themeColor="text1"/>
                <w:spacing w:val="-2"/>
                <w:sz w:val="16"/>
              </w:rPr>
              <w:t>,</w:t>
            </w:r>
            <w:r w:rsidR="00A7742C" w:rsidRPr="00A7742C">
              <w:rPr>
                <w:color w:val="000000" w:themeColor="text1"/>
                <w:spacing w:val="-2"/>
                <w:sz w:val="16"/>
              </w:rPr>
              <w:t>9</w:t>
            </w:r>
            <w:r w:rsidRPr="00A7742C">
              <w:rPr>
                <w:color w:val="000000" w:themeColor="text1"/>
                <w:spacing w:val="-2"/>
                <w:sz w:val="16"/>
              </w:rPr>
              <w:t>00</w:t>
            </w:r>
          </w:p>
        </w:tc>
        <w:tc>
          <w:tcPr>
            <w:tcW w:w="1339" w:type="dxa"/>
            <w:tcBorders>
              <w:top w:val="nil"/>
              <w:left w:val="single" w:sz="8" w:space="0" w:color="000000"/>
              <w:bottom w:val="nil"/>
              <w:right w:val="single" w:sz="8" w:space="0" w:color="000000"/>
            </w:tcBorders>
          </w:tcPr>
          <w:p w14:paraId="49A8286E" w14:textId="6B785F7A" w:rsidR="00CF7ED5" w:rsidRPr="00A7742C" w:rsidRDefault="00CF7ED5" w:rsidP="005D4764">
            <w:pPr>
              <w:pStyle w:val="TableParagraph"/>
              <w:spacing w:before="28"/>
              <w:jc w:val="center"/>
              <w:rPr>
                <w:rFonts w:ascii="Arial" w:eastAsia="Source Sans Pro" w:hAnsi="Arial" w:cs="Arial"/>
                <w:color w:val="000000" w:themeColor="text1"/>
                <w:sz w:val="16"/>
                <w:szCs w:val="16"/>
              </w:rPr>
            </w:pPr>
            <w:r w:rsidRPr="00A7742C">
              <w:rPr>
                <w:color w:val="000000" w:themeColor="text1"/>
                <w:spacing w:val="-2"/>
                <w:sz w:val="16"/>
              </w:rPr>
              <w:t>£2</w:t>
            </w:r>
            <w:r w:rsidR="00A7742C" w:rsidRPr="00A7742C">
              <w:rPr>
                <w:color w:val="000000" w:themeColor="text1"/>
                <w:spacing w:val="-2"/>
                <w:sz w:val="16"/>
              </w:rPr>
              <w:t>8</w:t>
            </w:r>
            <w:r w:rsidRPr="00A7742C">
              <w:rPr>
                <w:color w:val="000000" w:themeColor="text1"/>
                <w:spacing w:val="-2"/>
                <w:sz w:val="16"/>
              </w:rPr>
              <w:t>,</w:t>
            </w:r>
            <w:r w:rsidR="00A7742C" w:rsidRPr="00A7742C">
              <w:rPr>
                <w:color w:val="000000" w:themeColor="text1"/>
                <w:spacing w:val="-2"/>
                <w:sz w:val="16"/>
              </w:rPr>
              <w:t>2</w:t>
            </w:r>
            <w:r w:rsidRPr="00A7742C">
              <w:rPr>
                <w:color w:val="000000" w:themeColor="text1"/>
                <w:spacing w:val="-2"/>
                <w:sz w:val="16"/>
              </w:rPr>
              <w:t>00</w:t>
            </w:r>
          </w:p>
        </w:tc>
        <w:tc>
          <w:tcPr>
            <w:tcW w:w="1339" w:type="dxa"/>
            <w:tcBorders>
              <w:top w:val="nil"/>
              <w:left w:val="single" w:sz="8" w:space="0" w:color="000000"/>
              <w:bottom w:val="nil"/>
              <w:right w:val="single" w:sz="8" w:space="0" w:color="000000"/>
            </w:tcBorders>
          </w:tcPr>
          <w:p w14:paraId="5323CE4A" w14:textId="64564941" w:rsidR="00CF7ED5" w:rsidRPr="000A69E4" w:rsidRDefault="00CF7ED5" w:rsidP="005D4764">
            <w:pPr>
              <w:pStyle w:val="TableParagraph"/>
              <w:spacing w:before="28"/>
              <w:jc w:val="center"/>
              <w:rPr>
                <w:rFonts w:ascii="Arial" w:eastAsia="Source Sans Pro" w:hAnsi="Arial" w:cs="Arial"/>
                <w:color w:val="000000" w:themeColor="text1"/>
                <w:sz w:val="16"/>
                <w:szCs w:val="16"/>
              </w:rPr>
            </w:pPr>
            <w:r w:rsidRPr="000A69E4">
              <w:rPr>
                <w:color w:val="000000" w:themeColor="text1"/>
                <w:spacing w:val="-2"/>
                <w:sz w:val="16"/>
              </w:rPr>
              <w:t>£2</w:t>
            </w:r>
            <w:r w:rsidR="000A69E4" w:rsidRPr="000A69E4">
              <w:rPr>
                <w:color w:val="000000" w:themeColor="text1"/>
                <w:spacing w:val="-2"/>
                <w:sz w:val="16"/>
              </w:rPr>
              <w:t>7</w:t>
            </w:r>
            <w:r w:rsidRPr="000A69E4">
              <w:rPr>
                <w:color w:val="000000" w:themeColor="text1"/>
                <w:spacing w:val="-2"/>
                <w:sz w:val="16"/>
              </w:rPr>
              <w:t>,</w:t>
            </w:r>
            <w:r w:rsidR="000A69E4" w:rsidRPr="000A69E4">
              <w:rPr>
                <w:color w:val="000000" w:themeColor="text1"/>
                <w:spacing w:val="-2"/>
                <w:sz w:val="16"/>
              </w:rPr>
              <w:t>2</w:t>
            </w:r>
            <w:r w:rsidRPr="000A69E4">
              <w:rPr>
                <w:color w:val="000000" w:themeColor="text1"/>
                <w:spacing w:val="-2"/>
                <w:sz w:val="16"/>
              </w:rPr>
              <w:t>00</w:t>
            </w:r>
          </w:p>
        </w:tc>
        <w:tc>
          <w:tcPr>
            <w:tcW w:w="1339" w:type="dxa"/>
            <w:tcBorders>
              <w:top w:val="nil"/>
              <w:left w:val="single" w:sz="8" w:space="0" w:color="000000"/>
              <w:bottom w:val="nil"/>
              <w:right w:val="single" w:sz="8" w:space="0" w:color="000000"/>
            </w:tcBorders>
          </w:tcPr>
          <w:p w14:paraId="1FADCDEB" w14:textId="07947E88" w:rsidR="00CF7ED5" w:rsidRPr="00E82458" w:rsidRDefault="00CF7ED5" w:rsidP="005D4764">
            <w:pPr>
              <w:pStyle w:val="TableParagraph"/>
              <w:spacing w:before="28"/>
              <w:jc w:val="center"/>
              <w:rPr>
                <w:rFonts w:ascii="Arial" w:eastAsia="Source Sans Pro" w:hAnsi="Arial" w:cs="Arial"/>
                <w:color w:val="000000" w:themeColor="text1"/>
                <w:sz w:val="16"/>
                <w:szCs w:val="16"/>
              </w:rPr>
            </w:pPr>
            <w:r w:rsidRPr="00E82458">
              <w:rPr>
                <w:color w:val="000000" w:themeColor="text1"/>
                <w:spacing w:val="-2"/>
                <w:sz w:val="16"/>
              </w:rPr>
              <w:t>£</w:t>
            </w:r>
            <w:r w:rsidR="00E82458" w:rsidRPr="00E82458">
              <w:rPr>
                <w:color w:val="000000" w:themeColor="text1"/>
                <w:spacing w:val="-2"/>
                <w:sz w:val="16"/>
              </w:rPr>
              <w:t>28</w:t>
            </w:r>
            <w:r w:rsidRPr="00E82458">
              <w:rPr>
                <w:color w:val="000000" w:themeColor="text1"/>
                <w:spacing w:val="-2"/>
                <w:sz w:val="16"/>
              </w:rPr>
              <w:t>,</w:t>
            </w:r>
            <w:r w:rsidR="00E82458" w:rsidRPr="00E82458">
              <w:rPr>
                <w:color w:val="000000" w:themeColor="text1"/>
                <w:spacing w:val="-2"/>
                <w:sz w:val="16"/>
              </w:rPr>
              <w:t>2</w:t>
            </w:r>
            <w:r w:rsidRPr="00E82458">
              <w:rPr>
                <w:color w:val="000000" w:themeColor="text1"/>
                <w:spacing w:val="-2"/>
                <w:sz w:val="16"/>
              </w:rPr>
              <w:t>00</w:t>
            </w:r>
          </w:p>
        </w:tc>
        <w:tc>
          <w:tcPr>
            <w:tcW w:w="1339" w:type="dxa"/>
            <w:tcBorders>
              <w:top w:val="nil"/>
              <w:left w:val="single" w:sz="8" w:space="0" w:color="000000"/>
              <w:bottom w:val="nil"/>
              <w:right w:val="single" w:sz="8" w:space="0" w:color="000000"/>
            </w:tcBorders>
          </w:tcPr>
          <w:p w14:paraId="69C16C76" w14:textId="05649DDE" w:rsidR="00CF7ED5" w:rsidRPr="00E82458" w:rsidRDefault="00CF7ED5" w:rsidP="005D4764">
            <w:pPr>
              <w:pStyle w:val="TableParagraph"/>
              <w:spacing w:before="28"/>
              <w:jc w:val="center"/>
              <w:rPr>
                <w:rFonts w:ascii="Arial" w:eastAsia="Source Sans Pro" w:hAnsi="Arial" w:cs="Arial"/>
                <w:color w:val="000000" w:themeColor="text1"/>
                <w:sz w:val="16"/>
                <w:szCs w:val="16"/>
              </w:rPr>
            </w:pPr>
            <w:r w:rsidRPr="00E82458">
              <w:rPr>
                <w:color w:val="000000" w:themeColor="text1"/>
                <w:spacing w:val="-2"/>
                <w:sz w:val="16"/>
              </w:rPr>
              <w:t>£2</w:t>
            </w:r>
            <w:r w:rsidR="00E82458" w:rsidRPr="00E82458">
              <w:rPr>
                <w:color w:val="000000" w:themeColor="text1"/>
                <w:spacing w:val="-2"/>
                <w:sz w:val="16"/>
              </w:rPr>
              <w:t>7</w:t>
            </w:r>
            <w:r w:rsidRPr="00E82458">
              <w:rPr>
                <w:color w:val="000000" w:themeColor="text1"/>
                <w:spacing w:val="-2"/>
                <w:sz w:val="16"/>
              </w:rPr>
              <w:t>,</w:t>
            </w:r>
            <w:r w:rsidR="00E82458" w:rsidRPr="00E82458">
              <w:rPr>
                <w:color w:val="000000" w:themeColor="text1"/>
                <w:spacing w:val="-2"/>
                <w:sz w:val="16"/>
              </w:rPr>
              <w:t>3</w:t>
            </w:r>
            <w:r w:rsidRPr="00E82458">
              <w:rPr>
                <w:color w:val="000000" w:themeColor="text1"/>
                <w:spacing w:val="-2"/>
                <w:sz w:val="16"/>
              </w:rPr>
              <w:t>00</w:t>
            </w:r>
          </w:p>
        </w:tc>
      </w:tr>
      <w:tr w:rsidR="001427F1" w:rsidRPr="001427F1" w14:paraId="427B4D97" w14:textId="77777777" w:rsidTr="008240C8">
        <w:trPr>
          <w:trHeight w:hRule="exact" w:val="281"/>
        </w:trPr>
        <w:tc>
          <w:tcPr>
            <w:tcW w:w="936" w:type="dxa"/>
            <w:tcBorders>
              <w:top w:val="nil"/>
              <w:left w:val="single" w:sz="8" w:space="0" w:color="000000"/>
              <w:right w:val="single" w:sz="8" w:space="0" w:color="000000"/>
            </w:tcBorders>
          </w:tcPr>
          <w:p w14:paraId="6AEBB8AD" w14:textId="77777777" w:rsidR="00CF7ED5" w:rsidRPr="00A7742C" w:rsidRDefault="00CF7ED5" w:rsidP="005D4764">
            <w:pPr>
              <w:pStyle w:val="TableParagraph"/>
              <w:spacing w:before="28"/>
              <w:ind w:left="4"/>
              <w:jc w:val="center"/>
              <w:rPr>
                <w:rFonts w:ascii="Arial" w:eastAsia="Source Sans Pro" w:hAnsi="Arial" w:cs="Arial"/>
                <w:color w:val="000000" w:themeColor="text1"/>
                <w:sz w:val="16"/>
                <w:szCs w:val="16"/>
              </w:rPr>
            </w:pPr>
            <w:r w:rsidRPr="00A7742C">
              <w:rPr>
                <w:rFonts w:ascii="Arial" w:hAnsi="Arial" w:cs="Arial"/>
                <w:b/>
                <w:color w:val="000000" w:themeColor="text1"/>
                <w:spacing w:val="-1"/>
                <w:w w:val="105"/>
                <w:sz w:val="16"/>
                <w:szCs w:val="16"/>
              </w:rPr>
              <w:t>10</w:t>
            </w:r>
          </w:p>
        </w:tc>
        <w:tc>
          <w:tcPr>
            <w:tcW w:w="1339" w:type="dxa"/>
            <w:tcBorders>
              <w:top w:val="nil"/>
              <w:left w:val="single" w:sz="8" w:space="0" w:color="000000"/>
              <w:right w:val="single" w:sz="8" w:space="0" w:color="000000"/>
            </w:tcBorders>
          </w:tcPr>
          <w:p w14:paraId="7018BE27" w14:textId="0E48C1AE" w:rsidR="00CF7ED5" w:rsidRPr="001427F1" w:rsidRDefault="00CF7ED5" w:rsidP="005D4764">
            <w:pPr>
              <w:pStyle w:val="TableParagraph"/>
              <w:spacing w:before="28"/>
              <w:jc w:val="center"/>
              <w:rPr>
                <w:rFonts w:ascii="Arial" w:eastAsia="Source Sans Pro" w:hAnsi="Arial" w:cs="Arial"/>
                <w:color w:val="FF0000"/>
                <w:sz w:val="16"/>
                <w:szCs w:val="16"/>
              </w:rPr>
            </w:pPr>
            <w:r w:rsidRPr="00A7742C">
              <w:rPr>
                <w:color w:val="000000" w:themeColor="text1"/>
                <w:spacing w:val="-2"/>
                <w:sz w:val="16"/>
              </w:rPr>
              <w:t>£</w:t>
            </w:r>
            <w:r w:rsidR="00D3291C" w:rsidRPr="00A7742C">
              <w:rPr>
                <w:color w:val="000000" w:themeColor="text1"/>
                <w:spacing w:val="-2"/>
                <w:sz w:val="16"/>
              </w:rPr>
              <w:t>3</w:t>
            </w:r>
            <w:r w:rsidR="00A7742C" w:rsidRPr="00A7742C">
              <w:rPr>
                <w:color w:val="000000" w:themeColor="text1"/>
                <w:spacing w:val="-2"/>
                <w:sz w:val="16"/>
              </w:rPr>
              <w:t>0</w:t>
            </w:r>
            <w:r w:rsidR="00D3291C" w:rsidRPr="00A7742C">
              <w:rPr>
                <w:color w:val="000000" w:themeColor="text1"/>
                <w:spacing w:val="-2"/>
                <w:sz w:val="16"/>
              </w:rPr>
              <w:t>,</w:t>
            </w:r>
            <w:r w:rsidR="00A7742C" w:rsidRPr="00A7742C">
              <w:rPr>
                <w:color w:val="000000" w:themeColor="text1"/>
                <w:spacing w:val="-2"/>
                <w:sz w:val="16"/>
              </w:rPr>
              <w:t>9</w:t>
            </w:r>
            <w:r w:rsidRPr="00A7742C">
              <w:rPr>
                <w:color w:val="000000" w:themeColor="text1"/>
                <w:spacing w:val="-2"/>
                <w:sz w:val="16"/>
              </w:rPr>
              <w:t>00</w:t>
            </w:r>
          </w:p>
        </w:tc>
        <w:tc>
          <w:tcPr>
            <w:tcW w:w="1339" w:type="dxa"/>
            <w:tcBorders>
              <w:top w:val="nil"/>
              <w:left w:val="single" w:sz="8" w:space="0" w:color="000000"/>
              <w:right w:val="single" w:sz="8" w:space="0" w:color="000000"/>
            </w:tcBorders>
          </w:tcPr>
          <w:p w14:paraId="0043E15F" w14:textId="667865F5" w:rsidR="00CF7ED5" w:rsidRPr="00A7742C" w:rsidRDefault="00CF7ED5" w:rsidP="005D4764">
            <w:pPr>
              <w:pStyle w:val="TableParagraph"/>
              <w:spacing w:before="28"/>
              <w:jc w:val="center"/>
              <w:rPr>
                <w:rFonts w:ascii="Arial" w:eastAsia="Source Sans Pro" w:hAnsi="Arial" w:cs="Arial"/>
                <w:color w:val="000000" w:themeColor="text1"/>
                <w:sz w:val="16"/>
                <w:szCs w:val="16"/>
              </w:rPr>
            </w:pPr>
            <w:r w:rsidRPr="00A7742C">
              <w:rPr>
                <w:color w:val="000000" w:themeColor="text1"/>
                <w:spacing w:val="-2"/>
                <w:sz w:val="16"/>
              </w:rPr>
              <w:t>£</w:t>
            </w:r>
            <w:r w:rsidR="00A7742C" w:rsidRPr="00A7742C">
              <w:rPr>
                <w:color w:val="000000" w:themeColor="text1"/>
                <w:spacing w:val="-2"/>
                <w:sz w:val="16"/>
              </w:rPr>
              <w:t>28</w:t>
            </w:r>
            <w:r w:rsidRPr="00A7742C">
              <w:rPr>
                <w:color w:val="000000" w:themeColor="text1"/>
                <w:spacing w:val="-2"/>
                <w:sz w:val="16"/>
              </w:rPr>
              <w:t>,</w:t>
            </w:r>
            <w:r w:rsidR="00A7742C" w:rsidRPr="00A7742C">
              <w:rPr>
                <w:color w:val="000000" w:themeColor="text1"/>
                <w:spacing w:val="-2"/>
                <w:sz w:val="16"/>
              </w:rPr>
              <w:t>9</w:t>
            </w:r>
            <w:r w:rsidRPr="00A7742C">
              <w:rPr>
                <w:color w:val="000000" w:themeColor="text1"/>
                <w:spacing w:val="-2"/>
                <w:sz w:val="16"/>
              </w:rPr>
              <w:t>00</w:t>
            </w:r>
          </w:p>
        </w:tc>
        <w:tc>
          <w:tcPr>
            <w:tcW w:w="1339" w:type="dxa"/>
            <w:tcBorders>
              <w:top w:val="nil"/>
              <w:left w:val="single" w:sz="8" w:space="0" w:color="000000"/>
              <w:right w:val="single" w:sz="8" w:space="0" w:color="000000"/>
            </w:tcBorders>
          </w:tcPr>
          <w:p w14:paraId="4729AF16" w14:textId="597A6677" w:rsidR="00CF7ED5" w:rsidRPr="00A7742C" w:rsidRDefault="00CF7ED5" w:rsidP="005D4764">
            <w:pPr>
              <w:pStyle w:val="TableParagraph"/>
              <w:spacing w:before="28"/>
              <w:jc w:val="center"/>
              <w:rPr>
                <w:rFonts w:ascii="Arial" w:eastAsia="Source Sans Pro" w:hAnsi="Arial" w:cs="Arial"/>
                <w:color w:val="000000" w:themeColor="text1"/>
                <w:sz w:val="16"/>
                <w:szCs w:val="16"/>
              </w:rPr>
            </w:pPr>
            <w:r w:rsidRPr="00A7742C">
              <w:rPr>
                <w:color w:val="000000" w:themeColor="text1"/>
                <w:spacing w:val="-2"/>
                <w:sz w:val="16"/>
              </w:rPr>
              <w:t>£</w:t>
            </w:r>
            <w:r w:rsidR="00A7742C" w:rsidRPr="00A7742C">
              <w:rPr>
                <w:color w:val="000000" w:themeColor="text1"/>
                <w:spacing w:val="-2"/>
                <w:sz w:val="16"/>
              </w:rPr>
              <w:t>31</w:t>
            </w:r>
            <w:r w:rsidRPr="00A7742C">
              <w:rPr>
                <w:color w:val="000000" w:themeColor="text1"/>
                <w:spacing w:val="-2"/>
                <w:sz w:val="16"/>
              </w:rPr>
              <w:t>,</w:t>
            </w:r>
            <w:r w:rsidR="00A7742C" w:rsidRPr="00A7742C">
              <w:rPr>
                <w:color w:val="000000" w:themeColor="text1"/>
                <w:spacing w:val="-2"/>
                <w:sz w:val="16"/>
              </w:rPr>
              <w:t>8</w:t>
            </w:r>
            <w:r w:rsidRPr="00A7742C">
              <w:rPr>
                <w:color w:val="000000" w:themeColor="text1"/>
                <w:spacing w:val="-2"/>
                <w:sz w:val="16"/>
              </w:rPr>
              <w:t>00</w:t>
            </w:r>
          </w:p>
        </w:tc>
        <w:tc>
          <w:tcPr>
            <w:tcW w:w="1339" w:type="dxa"/>
            <w:tcBorders>
              <w:top w:val="nil"/>
              <w:left w:val="single" w:sz="8" w:space="0" w:color="000000"/>
              <w:right w:val="single" w:sz="8" w:space="0" w:color="000000"/>
            </w:tcBorders>
          </w:tcPr>
          <w:p w14:paraId="252EB3F7" w14:textId="0D7E8169" w:rsidR="00CF7ED5" w:rsidRPr="000A69E4" w:rsidRDefault="00CF7ED5" w:rsidP="005D4764">
            <w:pPr>
              <w:pStyle w:val="TableParagraph"/>
              <w:spacing w:before="28"/>
              <w:jc w:val="center"/>
              <w:rPr>
                <w:rFonts w:ascii="Arial" w:eastAsia="Source Sans Pro" w:hAnsi="Arial" w:cs="Arial"/>
                <w:color w:val="000000" w:themeColor="text1"/>
                <w:sz w:val="16"/>
                <w:szCs w:val="16"/>
              </w:rPr>
            </w:pPr>
            <w:r w:rsidRPr="000A69E4">
              <w:rPr>
                <w:color w:val="000000" w:themeColor="text1"/>
                <w:spacing w:val="-2"/>
                <w:sz w:val="16"/>
              </w:rPr>
              <w:t>£</w:t>
            </w:r>
            <w:r w:rsidR="005976EC" w:rsidRPr="000A69E4">
              <w:rPr>
                <w:color w:val="000000" w:themeColor="text1"/>
                <w:spacing w:val="-2"/>
                <w:sz w:val="16"/>
              </w:rPr>
              <w:t>2</w:t>
            </w:r>
            <w:r w:rsidR="000A69E4" w:rsidRPr="000A69E4">
              <w:rPr>
                <w:color w:val="000000" w:themeColor="text1"/>
                <w:spacing w:val="-2"/>
                <w:sz w:val="16"/>
              </w:rPr>
              <w:t>9</w:t>
            </w:r>
            <w:r w:rsidRPr="000A69E4">
              <w:rPr>
                <w:color w:val="000000" w:themeColor="text1"/>
                <w:spacing w:val="-2"/>
                <w:sz w:val="16"/>
              </w:rPr>
              <w:t>,</w:t>
            </w:r>
            <w:r w:rsidR="000A69E4" w:rsidRPr="000A69E4">
              <w:rPr>
                <w:color w:val="000000" w:themeColor="text1"/>
                <w:spacing w:val="-2"/>
                <w:sz w:val="16"/>
              </w:rPr>
              <w:t>7</w:t>
            </w:r>
            <w:r w:rsidRPr="000A69E4">
              <w:rPr>
                <w:color w:val="000000" w:themeColor="text1"/>
                <w:spacing w:val="-2"/>
                <w:sz w:val="16"/>
              </w:rPr>
              <w:t>00</w:t>
            </w:r>
          </w:p>
        </w:tc>
        <w:tc>
          <w:tcPr>
            <w:tcW w:w="1339" w:type="dxa"/>
            <w:tcBorders>
              <w:top w:val="nil"/>
              <w:left w:val="single" w:sz="8" w:space="0" w:color="000000"/>
              <w:right w:val="single" w:sz="8" w:space="0" w:color="000000"/>
            </w:tcBorders>
          </w:tcPr>
          <w:p w14:paraId="0BBACBD9" w14:textId="4AAFE2CA" w:rsidR="00CF7ED5" w:rsidRPr="00E82458" w:rsidRDefault="00CF7ED5" w:rsidP="005D4764">
            <w:pPr>
              <w:pStyle w:val="TableParagraph"/>
              <w:spacing w:before="28"/>
              <w:jc w:val="center"/>
              <w:rPr>
                <w:rFonts w:ascii="Arial" w:eastAsia="Source Sans Pro" w:hAnsi="Arial" w:cs="Arial"/>
                <w:color w:val="000000" w:themeColor="text1"/>
                <w:sz w:val="16"/>
                <w:szCs w:val="16"/>
              </w:rPr>
            </w:pPr>
            <w:r w:rsidRPr="00E82458">
              <w:rPr>
                <w:color w:val="000000" w:themeColor="text1"/>
                <w:spacing w:val="-2"/>
                <w:sz w:val="16"/>
              </w:rPr>
              <w:t>£</w:t>
            </w:r>
            <w:r w:rsidR="005F2463" w:rsidRPr="00E82458">
              <w:rPr>
                <w:color w:val="000000" w:themeColor="text1"/>
                <w:spacing w:val="-2"/>
                <w:sz w:val="16"/>
              </w:rPr>
              <w:t>3</w:t>
            </w:r>
            <w:r w:rsidR="00E82458" w:rsidRPr="00E82458">
              <w:rPr>
                <w:color w:val="000000" w:themeColor="text1"/>
                <w:spacing w:val="-2"/>
                <w:sz w:val="16"/>
              </w:rPr>
              <w:t>1</w:t>
            </w:r>
            <w:r w:rsidRPr="00E82458">
              <w:rPr>
                <w:color w:val="000000" w:themeColor="text1"/>
                <w:spacing w:val="-2"/>
                <w:sz w:val="16"/>
              </w:rPr>
              <w:t>,</w:t>
            </w:r>
            <w:r w:rsidR="00E82458" w:rsidRPr="00E82458">
              <w:rPr>
                <w:color w:val="000000" w:themeColor="text1"/>
                <w:spacing w:val="-2"/>
                <w:sz w:val="16"/>
              </w:rPr>
              <w:t>8</w:t>
            </w:r>
            <w:r w:rsidRPr="00E82458">
              <w:rPr>
                <w:color w:val="000000" w:themeColor="text1"/>
                <w:spacing w:val="-2"/>
                <w:sz w:val="16"/>
              </w:rPr>
              <w:t>00</w:t>
            </w:r>
          </w:p>
        </w:tc>
        <w:tc>
          <w:tcPr>
            <w:tcW w:w="1339" w:type="dxa"/>
            <w:tcBorders>
              <w:top w:val="nil"/>
              <w:left w:val="single" w:sz="8" w:space="0" w:color="000000"/>
              <w:right w:val="single" w:sz="8" w:space="0" w:color="000000"/>
            </w:tcBorders>
          </w:tcPr>
          <w:p w14:paraId="182AF164" w14:textId="22AE9ADF" w:rsidR="00CF7ED5" w:rsidRPr="00E82458" w:rsidRDefault="00CF7ED5" w:rsidP="005D4764">
            <w:pPr>
              <w:pStyle w:val="TableParagraph"/>
              <w:spacing w:before="28"/>
              <w:jc w:val="center"/>
              <w:rPr>
                <w:rFonts w:ascii="Arial" w:eastAsia="Source Sans Pro" w:hAnsi="Arial" w:cs="Arial"/>
                <w:color w:val="000000" w:themeColor="text1"/>
                <w:sz w:val="16"/>
                <w:szCs w:val="16"/>
              </w:rPr>
            </w:pPr>
            <w:r w:rsidRPr="00E82458">
              <w:rPr>
                <w:color w:val="000000" w:themeColor="text1"/>
                <w:spacing w:val="-2"/>
                <w:sz w:val="16"/>
              </w:rPr>
              <w:t>£</w:t>
            </w:r>
            <w:r w:rsidR="00E82458" w:rsidRPr="00E82458">
              <w:rPr>
                <w:color w:val="000000" w:themeColor="text1"/>
                <w:spacing w:val="-2"/>
                <w:sz w:val="16"/>
              </w:rPr>
              <w:t>29</w:t>
            </w:r>
            <w:r w:rsidRPr="00E82458">
              <w:rPr>
                <w:color w:val="000000" w:themeColor="text1"/>
                <w:spacing w:val="-2"/>
                <w:sz w:val="16"/>
              </w:rPr>
              <w:t>,</w:t>
            </w:r>
            <w:r w:rsidR="00E82458" w:rsidRPr="00E82458">
              <w:rPr>
                <w:color w:val="000000" w:themeColor="text1"/>
                <w:spacing w:val="-2"/>
                <w:sz w:val="16"/>
              </w:rPr>
              <w:t>8</w:t>
            </w:r>
            <w:r w:rsidRPr="00E82458">
              <w:rPr>
                <w:color w:val="000000" w:themeColor="text1"/>
                <w:spacing w:val="-2"/>
                <w:sz w:val="16"/>
              </w:rPr>
              <w:t>00</w:t>
            </w:r>
          </w:p>
        </w:tc>
      </w:tr>
      <w:tr w:rsidR="001427F1" w:rsidRPr="001427F1" w14:paraId="1FC0E4B2" w14:textId="77777777" w:rsidTr="008240C8">
        <w:trPr>
          <w:trHeight w:hRule="exact" w:val="281"/>
        </w:trPr>
        <w:tc>
          <w:tcPr>
            <w:tcW w:w="936" w:type="dxa"/>
            <w:tcBorders>
              <w:top w:val="nil"/>
              <w:left w:val="single" w:sz="8" w:space="0" w:color="000000"/>
              <w:bottom w:val="nil"/>
              <w:right w:val="single" w:sz="8" w:space="0" w:color="000000"/>
            </w:tcBorders>
          </w:tcPr>
          <w:p w14:paraId="0F5C5F8B" w14:textId="77777777" w:rsidR="00CF7ED5" w:rsidRPr="00A7742C" w:rsidRDefault="00CF7ED5" w:rsidP="005D4764">
            <w:pPr>
              <w:pStyle w:val="TableParagraph"/>
              <w:spacing w:before="28"/>
              <w:ind w:left="4"/>
              <w:jc w:val="center"/>
              <w:rPr>
                <w:rFonts w:ascii="Arial" w:eastAsia="Source Sans Pro" w:hAnsi="Arial" w:cs="Arial"/>
                <w:color w:val="000000" w:themeColor="text1"/>
                <w:sz w:val="16"/>
                <w:szCs w:val="16"/>
              </w:rPr>
            </w:pPr>
            <w:r w:rsidRPr="00A7742C">
              <w:rPr>
                <w:rFonts w:ascii="Arial" w:hAnsi="Arial" w:cs="Arial"/>
                <w:b/>
                <w:color w:val="000000" w:themeColor="text1"/>
                <w:spacing w:val="-1"/>
                <w:w w:val="105"/>
                <w:sz w:val="16"/>
                <w:szCs w:val="16"/>
              </w:rPr>
              <w:t>15</w:t>
            </w:r>
          </w:p>
        </w:tc>
        <w:tc>
          <w:tcPr>
            <w:tcW w:w="1339" w:type="dxa"/>
            <w:tcBorders>
              <w:top w:val="nil"/>
              <w:left w:val="single" w:sz="8" w:space="0" w:color="000000"/>
              <w:bottom w:val="nil"/>
              <w:right w:val="single" w:sz="8" w:space="0" w:color="000000"/>
            </w:tcBorders>
          </w:tcPr>
          <w:p w14:paraId="65CA081F" w14:textId="7D3B7217" w:rsidR="00CF7ED5" w:rsidRPr="001427F1" w:rsidRDefault="00CF7ED5" w:rsidP="005D4764">
            <w:pPr>
              <w:pStyle w:val="TableParagraph"/>
              <w:spacing w:before="28"/>
              <w:jc w:val="center"/>
              <w:rPr>
                <w:rFonts w:ascii="Arial" w:eastAsia="Source Sans Pro" w:hAnsi="Arial" w:cs="Arial"/>
                <w:color w:val="FF0000"/>
                <w:sz w:val="16"/>
                <w:szCs w:val="16"/>
              </w:rPr>
            </w:pPr>
            <w:r w:rsidRPr="00A7742C">
              <w:rPr>
                <w:color w:val="000000" w:themeColor="text1"/>
                <w:spacing w:val="-2"/>
                <w:sz w:val="16"/>
              </w:rPr>
              <w:t>£3</w:t>
            </w:r>
            <w:r w:rsidR="00A7742C" w:rsidRPr="00A7742C">
              <w:rPr>
                <w:color w:val="000000" w:themeColor="text1"/>
                <w:spacing w:val="-2"/>
                <w:sz w:val="16"/>
              </w:rPr>
              <w:t>4</w:t>
            </w:r>
            <w:r w:rsidRPr="00A7742C">
              <w:rPr>
                <w:color w:val="000000" w:themeColor="text1"/>
                <w:spacing w:val="-2"/>
                <w:sz w:val="16"/>
              </w:rPr>
              <w:t>,</w:t>
            </w:r>
            <w:r w:rsidR="00A7742C" w:rsidRPr="00A7742C">
              <w:rPr>
                <w:color w:val="000000" w:themeColor="text1"/>
                <w:spacing w:val="-2"/>
                <w:sz w:val="16"/>
              </w:rPr>
              <w:t>4</w:t>
            </w:r>
            <w:r w:rsidRPr="00A7742C">
              <w:rPr>
                <w:color w:val="000000" w:themeColor="text1"/>
                <w:spacing w:val="-2"/>
                <w:sz w:val="16"/>
              </w:rPr>
              <w:t>00</w:t>
            </w:r>
          </w:p>
        </w:tc>
        <w:tc>
          <w:tcPr>
            <w:tcW w:w="1339" w:type="dxa"/>
            <w:tcBorders>
              <w:top w:val="nil"/>
              <w:left w:val="single" w:sz="8" w:space="0" w:color="000000"/>
              <w:bottom w:val="nil"/>
              <w:right w:val="single" w:sz="8" w:space="0" w:color="000000"/>
            </w:tcBorders>
          </w:tcPr>
          <w:p w14:paraId="12A6890C" w14:textId="2BC4B98A" w:rsidR="00CF7ED5" w:rsidRPr="00A7742C" w:rsidRDefault="00D3291C" w:rsidP="005D4764">
            <w:pPr>
              <w:pStyle w:val="TableParagraph"/>
              <w:spacing w:before="28"/>
              <w:jc w:val="center"/>
              <w:rPr>
                <w:rFonts w:ascii="Arial" w:eastAsia="Source Sans Pro" w:hAnsi="Arial" w:cs="Arial"/>
                <w:color w:val="000000" w:themeColor="text1"/>
                <w:sz w:val="16"/>
                <w:szCs w:val="16"/>
              </w:rPr>
            </w:pPr>
            <w:r w:rsidRPr="00A7742C">
              <w:rPr>
                <w:color w:val="000000" w:themeColor="text1"/>
                <w:spacing w:val="-2"/>
                <w:sz w:val="16"/>
              </w:rPr>
              <w:t>£3</w:t>
            </w:r>
            <w:r w:rsidR="00A7742C" w:rsidRPr="00A7742C">
              <w:rPr>
                <w:color w:val="000000" w:themeColor="text1"/>
                <w:spacing w:val="-2"/>
                <w:sz w:val="16"/>
              </w:rPr>
              <w:t>1</w:t>
            </w:r>
            <w:r w:rsidR="00CF7ED5" w:rsidRPr="00A7742C">
              <w:rPr>
                <w:color w:val="000000" w:themeColor="text1"/>
                <w:spacing w:val="-2"/>
                <w:sz w:val="16"/>
              </w:rPr>
              <w:t>,</w:t>
            </w:r>
            <w:r w:rsidR="00A7742C" w:rsidRPr="00A7742C">
              <w:rPr>
                <w:color w:val="000000" w:themeColor="text1"/>
                <w:spacing w:val="-2"/>
                <w:sz w:val="16"/>
              </w:rPr>
              <w:t>1</w:t>
            </w:r>
            <w:r w:rsidR="00CF7ED5" w:rsidRPr="00A7742C">
              <w:rPr>
                <w:color w:val="000000" w:themeColor="text1"/>
                <w:spacing w:val="-2"/>
                <w:sz w:val="16"/>
              </w:rPr>
              <w:t>00</w:t>
            </w:r>
          </w:p>
        </w:tc>
        <w:tc>
          <w:tcPr>
            <w:tcW w:w="1339" w:type="dxa"/>
            <w:tcBorders>
              <w:top w:val="nil"/>
              <w:left w:val="single" w:sz="8" w:space="0" w:color="000000"/>
              <w:bottom w:val="nil"/>
              <w:right w:val="single" w:sz="8" w:space="0" w:color="000000"/>
            </w:tcBorders>
          </w:tcPr>
          <w:p w14:paraId="19E44789" w14:textId="3FABC037" w:rsidR="00CF7ED5" w:rsidRPr="00A7742C" w:rsidRDefault="00CF7ED5" w:rsidP="005D4764">
            <w:pPr>
              <w:pStyle w:val="TableParagraph"/>
              <w:spacing w:before="28"/>
              <w:jc w:val="center"/>
              <w:rPr>
                <w:rFonts w:ascii="Arial" w:eastAsia="Source Sans Pro" w:hAnsi="Arial" w:cs="Arial"/>
                <w:color w:val="000000" w:themeColor="text1"/>
                <w:sz w:val="16"/>
                <w:szCs w:val="16"/>
              </w:rPr>
            </w:pPr>
            <w:r w:rsidRPr="00A7742C">
              <w:rPr>
                <w:color w:val="000000" w:themeColor="text1"/>
                <w:spacing w:val="-2"/>
                <w:sz w:val="16"/>
              </w:rPr>
              <w:t>£</w:t>
            </w:r>
            <w:r w:rsidR="00A7742C" w:rsidRPr="00A7742C">
              <w:rPr>
                <w:color w:val="000000" w:themeColor="text1"/>
                <w:spacing w:val="-2"/>
                <w:sz w:val="16"/>
              </w:rPr>
              <w:t>35</w:t>
            </w:r>
            <w:r w:rsidRPr="00A7742C">
              <w:rPr>
                <w:color w:val="000000" w:themeColor="text1"/>
                <w:spacing w:val="-2"/>
                <w:sz w:val="16"/>
              </w:rPr>
              <w:t>,</w:t>
            </w:r>
            <w:r w:rsidR="005976EC" w:rsidRPr="00A7742C">
              <w:rPr>
                <w:color w:val="000000" w:themeColor="text1"/>
                <w:spacing w:val="-2"/>
                <w:sz w:val="16"/>
              </w:rPr>
              <w:t>9</w:t>
            </w:r>
            <w:r w:rsidRPr="00A7742C">
              <w:rPr>
                <w:color w:val="000000" w:themeColor="text1"/>
                <w:spacing w:val="-2"/>
                <w:sz w:val="16"/>
              </w:rPr>
              <w:t>00</w:t>
            </w:r>
          </w:p>
        </w:tc>
        <w:tc>
          <w:tcPr>
            <w:tcW w:w="1339" w:type="dxa"/>
            <w:tcBorders>
              <w:top w:val="nil"/>
              <w:left w:val="single" w:sz="8" w:space="0" w:color="000000"/>
              <w:bottom w:val="nil"/>
              <w:right w:val="single" w:sz="8" w:space="0" w:color="000000"/>
            </w:tcBorders>
          </w:tcPr>
          <w:p w14:paraId="659912C2" w14:textId="762ADA05" w:rsidR="00CF7ED5" w:rsidRPr="000A69E4" w:rsidRDefault="00CF7ED5" w:rsidP="005D4764">
            <w:pPr>
              <w:pStyle w:val="TableParagraph"/>
              <w:spacing w:before="28"/>
              <w:jc w:val="center"/>
              <w:rPr>
                <w:rFonts w:ascii="Arial" w:eastAsia="Source Sans Pro" w:hAnsi="Arial" w:cs="Arial"/>
                <w:color w:val="000000" w:themeColor="text1"/>
                <w:sz w:val="16"/>
                <w:szCs w:val="16"/>
              </w:rPr>
            </w:pPr>
            <w:r w:rsidRPr="000A69E4">
              <w:rPr>
                <w:color w:val="000000" w:themeColor="text1"/>
                <w:spacing w:val="-2"/>
                <w:sz w:val="16"/>
              </w:rPr>
              <w:t>£</w:t>
            </w:r>
            <w:r w:rsidR="000A69E4" w:rsidRPr="000A69E4">
              <w:rPr>
                <w:color w:val="000000" w:themeColor="text1"/>
                <w:spacing w:val="-2"/>
                <w:sz w:val="16"/>
              </w:rPr>
              <w:t>32</w:t>
            </w:r>
            <w:r w:rsidRPr="000A69E4">
              <w:rPr>
                <w:color w:val="000000" w:themeColor="text1"/>
                <w:spacing w:val="-2"/>
                <w:sz w:val="16"/>
              </w:rPr>
              <w:t>,</w:t>
            </w:r>
            <w:r w:rsidR="000A69E4" w:rsidRPr="000A69E4">
              <w:rPr>
                <w:color w:val="000000" w:themeColor="text1"/>
                <w:spacing w:val="-2"/>
                <w:sz w:val="16"/>
              </w:rPr>
              <w:t>4</w:t>
            </w:r>
            <w:r w:rsidRPr="000A69E4">
              <w:rPr>
                <w:color w:val="000000" w:themeColor="text1"/>
                <w:spacing w:val="-2"/>
                <w:sz w:val="16"/>
              </w:rPr>
              <w:t>00</w:t>
            </w:r>
          </w:p>
        </w:tc>
        <w:tc>
          <w:tcPr>
            <w:tcW w:w="1339" w:type="dxa"/>
            <w:tcBorders>
              <w:top w:val="nil"/>
              <w:left w:val="single" w:sz="8" w:space="0" w:color="000000"/>
              <w:bottom w:val="nil"/>
              <w:right w:val="single" w:sz="8" w:space="0" w:color="000000"/>
            </w:tcBorders>
          </w:tcPr>
          <w:p w14:paraId="3C717AF6" w14:textId="754458E6" w:rsidR="00CF7ED5" w:rsidRPr="00E82458" w:rsidRDefault="00CF7ED5" w:rsidP="005D4764">
            <w:pPr>
              <w:pStyle w:val="TableParagraph"/>
              <w:spacing w:before="28"/>
              <w:jc w:val="center"/>
              <w:rPr>
                <w:rFonts w:ascii="Arial" w:eastAsia="Source Sans Pro" w:hAnsi="Arial" w:cs="Arial"/>
                <w:color w:val="000000" w:themeColor="text1"/>
                <w:sz w:val="16"/>
                <w:szCs w:val="16"/>
              </w:rPr>
            </w:pPr>
            <w:r w:rsidRPr="00E82458">
              <w:rPr>
                <w:color w:val="000000" w:themeColor="text1"/>
                <w:spacing w:val="-2"/>
                <w:sz w:val="16"/>
              </w:rPr>
              <w:t>£</w:t>
            </w:r>
            <w:r w:rsidR="00E82458" w:rsidRPr="00E82458">
              <w:rPr>
                <w:color w:val="000000" w:themeColor="text1"/>
                <w:spacing w:val="-2"/>
                <w:sz w:val="16"/>
              </w:rPr>
              <w:t>35</w:t>
            </w:r>
            <w:r w:rsidRPr="00E82458">
              <w:rPr>
                <w:color w:val="000000" w:themeColor="text1"/>
                <w:spacing w:val="-2"/>
                <w:sz w:val="16"/>
              </w:rPr>
              <w:t>,</w:t>
            </w:r>
            <w:r w:rsidR="00E82458" w:rsidRPr="00E82458">
              <w:rPr>
                <w:color w:val="000000" w:themeColor="text1"/>
                <w:spacing w:val="-2"/>
                <w:sz w:val="16"/>
              </w:rPr>
              <w:t>9</w:t>
            </w:r>
            <w:r w:rsidRPr="00E82458">
              <w:rPr>
                <w:color w:val="000000" w:themeColor="text1"/>
                <w:spacing w:val="-2"/>
                <w:sz w:val="16"/>
              </w:rPr>
              <w:t>00</w:t>
            </w:r>
          </w:p>
        </w:tc>
        <w:tc>
          <w:tcPr>
            <w:tcW w:w="1339" w:type="dxa"/>
            <w:tcBorders>
              <w:top w:val="nil"/>
              <w:left w:val="single" w:sz="8" w:space="0" w:color="000000"/>
              <w:bottom w:val="nil"/>
              <w:right w:val="single" w:sz="8" w:space="0" w:color="000000"/>
            </w:tcBorders>
          </w:tcPr>
          <w:p w14:paraId="68870B14" w14:textId="3B71AA05" w:rsidR="00CF7ED5" w:rsidRPr="00E82458" w:rsidRDefault="00CF7ED5" w:rsidP="005D4764">
            <w:pPr>
              <w:pStyle w:val="TableParagraph"/>
              <w:spacing w:before="28"/>
              <w:jc w:val="center"/>
              <w:rPr>
                <w:rFonts w:ascii="Arial" w:eastAsia="Source Sans Pro" w:hAnsi="Arial" w:cs="Arial"/>
                <w:color w:val="000000" w:themeColor="text1"/>
                <w:sz w:val="16"/>
                <w:szCs w:val="16"/>
              </w:rPr>
            </w:pPr>
            <w:r w:rsidRPr="00E82458">
              <w:rPr>
                <w:color w:val="000000" w:themeColor="text1"/>
                <w:spacing w:val="-2"/>
                <w:sz w:val="16"/>
              </w:rPr>
              <w:t>£</w:t>
            </w:r>
            <w:r w:rsidR="00E82458" w:rsidRPr="00E82458">
              <w:rPr>
                <w:color w:val="000000" w:themeColor="text1"/>
                <w:spacing w:val="-2"/>
                <w:sz w:val="16"/>
              </w:rPr>
              <w:t>32</w:t>
            </w:r>
            <w:r w:rsidRPr="00E82458">
              <w:rPr>
                <w:color w:val="000000" w:themeColor="text1"/>
                <w:spacing w:val="-2"/>
                <w:sz w:val="16"/>
              </w:rPr>
              <w:t>,</w:t>
            </w:r>
            <w:r w:rsidR="00E82458" w:rsidRPr="00E82458">
              <w:rPr>
                <w:color w:val="000000" w:themeColor="text1"/>
                <w:spacing w:val="-2"/>
                <w:sz w:val="16"/>
              </w:rPr>
              <w:t>5</w:t>
            </w:r>
            <w:r w:rsidRPr="00E82458">
              <w:rPr>
                <w:color w:val="000000" w:themeColor="text1"/>
                <w:spacing w:val="-2"/>
                <w:sz w:val="16"/>
              </w:rPr>
              <w:t>00</w:t>
            </w:r>
          </w:p>
        </w:tc>
      </w:tr>
      <w:tr w:rsidR="001427F1" w:rsidRPr="001427F1" w14:paraId="00034372" w14:textId="77777777" w:rsidTr="00F25437">
        <w:trPr>
          <w:trHeight w:hRule="exact" w:val="281"/>
        </w:trPr>
        <w:tc>
          <w:tcPr>
            <w:tcW w:w="936" w:type="dxa"/>
            <w:tcBorders>
              <w:top w:val="nil"/>
              <w:left w:val="single" w:sz="8" w:space="0" w:color="000000"/>
              <w:bottom w:val="nil"/>
              <w:right w:val="single" w:sz="8" w:space="0" w:color="000000"/>
            </w:tcBorders>
          </w:tcPr>
          <w:p w14:paraId="46123FC1" w14:textId="77777777" w:rsidR="00CF7ED5" w:rsidRPr="00A7742C" w:rsidRDefault="00CF7ED5" w:rsidP="005D4764">
            <w:pPr>
              <w:pStyle w:val="TableParagraph"/>
              <w:spacing w:before="28"/>
              <w:ind w:left="4"/>
              <w:jc w:val="center"/>
              <w:rPr>
                <w:rFonts w:ascii="Arial" w:hAnsi="Arial" w:cs="Arial"/>
                <w:b/>
                <w:color w:val="000000" w:themeColor="text1"/>
                <w:spacing w:val="-1"/>
                <w:w w:val="105"/>
                <w:sz w:val="16"/>
                <w:szCs w:val="16"/>
              </w:rPr>
            </w:pPr>
            <w:r w:rsidRPr="00A7742C">
              <w:rPr>
                <w:rFonts w:ascii="Arial" w:hAnsi="Arial" w:cs="Arial"/>
                <w:b/>
                <w:color w:val="000000" w:themeColor="text1"/>
                <w:spacing w:val="-1"/>
                <w:w w:val="105"/>
                <w:sz w:val="16"/>
                <w:szCs w:val="16"/>
              </w:rPr>
              <w:t>20</w:t>
            </w:r>
          </w:p>
        </w:tc>
        <w:tc>
          <w:tcPr>
            <w:tcW w:w="1339" w:type="dxa"/>
            <w:tcBorders>
              <w:top w:val="nil"/>
              <w:left w:val="single" w:sz="8" w:space="0" w:color="000000"/>
              <w:bottom w:val="nil"/>
              <w:right w:val="single" w:sz="8" w:space="0" w:color="000000"/>
            </w:tcBorders>
          </w:tcPr>
          <w:p w14:paraId="4524A6B4" w14:textId="0DB922B2" w:rsidR="00CF7ED5" w:rsidRPr="00A7742C" w:rsidRDefault="00D3291C" w:rsidP="005D4764">
            <w:pPr>
              <w:pStyle w:val="TableParagraph"/>
              <w:spacing w:before="28"/>
              <w:jc w:val="center"/>
              <w:rPr>
                <w:color w:val="000000" w:themeColor="text1"/>
                <w:spacing w:val="-2"/>
                <w:sz w:val="16"/>
              </w:rPr>
            </w:pPr>
            <w:r w:rsidRPr="00A7742C">
              <w:rPr>
                <w:color w:val="000000" w:themeColor="text1"/>
                <w:spacing w:val="-2"/>
                <w:sz w:val="16"/>
              </w:rPr>
              <w:t>£</w:t>
            </w:r>
            <w:r w:rsidR="00A7742C" w:rsidRPr="00A7742C">
              <w:rPr>
                <w:color w:val="000000" w:themeColor="text1"/>
                <w:spacing w:val="-2"/>
                <w:sz w:val="16"/>
              </w:rPr>
              <w:t>38</w:t>
            </w:r>
            <w:r w:rsidRPr="00A7742C">
              <w:rPr>
                <w:color w:val="000000" w:themeColor="text1"/>
                <w:spacing w:val="-2"/>
                <w:sz w:val="16"/>
              </w:rPr>
              <w:t>,</w:t>
            </w:r>
            <w:r w:rsidR="00A7742C" w:rsidRPr="00A7742C">
              <w:rPr>
                <w:color w:val="000000" w:themeColor="text1"/>
                <w:spacing w:val="-2"/>
                <w:sz w:val="16"/>
              </w:rPr>
              <w:t>2</w:t>
            </w:r>
            <w:r w:rsidRPr="00A7742C">
              <w:rPr>
                <w:color w:val="000000" w:themeColor="text1"/>
                <w:spacing w:val="-2"/>
                <w:sz w:val="16"/>
              </w:rPr>
              <w:t>00</w:t>
            </w:r>
          </w:p>
        </w:tc>
        <w:tc>
          <w:tcPr>
            <w:tcW w:w="1339" w:type="dxa"/>
            <w:tcBorders>
              <w:top w:val="nil"/>
              <w:left w:val="single" w:sz="8" w:space="0" w:color="000000"/>
              <w:bottom w:val="nil"/>
              <w:right w:val="single" w:sz="8" w:space="0" w:color="000000"/>
            </w:tcBorders>
          </w:tcPr>
          <w:p w14:paraId="2A1C2E32" w14:textId="1FD966AF" w:rsidR="00CF7ED5" w:rsidRPr="00A7742C" w:rsidRDefault="00D3291C" w:rsidP="005D4764">
            <w:pPr>
              <w:pStyle w:val="TableParagraph"/>
              <w:spacing w:before="28"/>
              <w:jc w:val="center"/>
              <w:rPr>
                <w:color w:val="000000" w:themeColor="text1"/>
                <w:spacing w:val="-2"/>
                <w:sz w:val="16"/>
              </w:rPr>
            </w:pPr>
            <w:r w:rsidRPr="00A7742C">
              <w:rPr>
                <w:color w:val="000000" w:themeColor="text1"/>
                <w:spacing w:val="-2"/>
                <w:sz w:val="16"/>
              </w:rPr>
              <w:t>£3</w:t>
            </w:r>
            <w:r w:rsidR="00A7742C" w:rsidRPr="00A7742C">
              <w:rPr>
                <w:color w:val="000000" w:themeColor="text1"/>
                <w:spacing w:val="-2"/>
                <w:sz w:val="16"/>
              </w:rPr>
              <w:t>3</w:t>
            </w:r>
            <w:r w:rsidRPr="00A7742C">
              <w:rPr>
                <w:color w:val="000000" w:themeColor="text1"/>
                <w:spacing w:val="-2"/>
                <w:sz w:val="16"/>
              </w:rPr>
              <w:t>,</w:t>
            </w:r>
            <w:r w:rsidR="00A7742C" w:rsidRPr="00A7742C">
              <w:rPr>
                <w:color w:val="000000" w:themeColor="text1"/>
                <w:spacing w:val="-2"/>
                <w:sz w:val="16"/>
              </w:rPr>
              <w:t>4</w:t>
            </w:r>
            <w:r w:rsidRPr="00A7742C">
              <w:rPr>
                <w:color w:val="000000" w:themeColor="text1"/>
                <w:spacing w:val="-2"/>
                <w:sz w:val="16"/>
              </w:rPr>
              <w:t>00</w:t>
            </w:r>
          </w:p>
        </w:tc>
        <w:tc>
          <w:tcPr>
            <w:tcW w:w="1339" w:type="dxa"/>
            <w:tcBorders>
              <w:top w:val="nil"/>
              <w:left w:val="single" w:sz="8" w:space="0" w:color="000000"/>
              <w:bottom w:val="nil"/>
              <w:right w:val="single" w:sz="8" w:space="0" w:color="000000"/>
            </w:tcBorders>
          </w:tcPr>
          <w:p w14:paraId="1624EFBC" w14:textId="39E937A1" w:rsidR="00CF7ED5" w:rsidRPr="00A7742C" w:rsidRDefault="00A82222" w:rsidP="005D4764">
            <w:pPr>
              <w:pStyle w:val="TableParagraph"/>
              <w:spacing w:before="28"/>
              <w:jc w:val="center"/>
              <w:rPr>
                <w:color w:val="000000" w:themeColor="text1"/>
                <w:spacing w:val="-2"/>
                <w:sz w:val="16"/>
              </w:rPr>
            </w:pPr>
            <w:r w:rsidRPr="00A7742C">
              <w:rPr>
                <w:color w:val="000000" w:themeColor="text1"/>
                <w:spacing w:val="-2"/>
                <w:sz w:val="16"/>
              </w:rPr>
              <w:t>£</w:t>
            </w:r>
            <w:r w:rsidR="00A7742C" w:rsidRPr="00A7742C">
              <w:rPr>
                <w:color w:val="000000" w:themeColor="text1"/>
                <w:spacing w:val="-2"/>
                <w:sz w:val="16"/>
              </w:rPr>
              <w:t>40</w:t>
            </w:r>
            <w:r w:rsidRPr="00A7742C">
              <w:rPr>
                <w:color w:val="000000" w:themeColor="text1"/>
                <w:spacing w:val="-2"/>
                <w:sz w:val="16"/>
              </w:rPr>
              <w:t>,</w:t>
            </w:r>
            <w:r w:rsidR="00A7742C" w:rsidRPr="00A7742C">
              <w:rPr>
                <w:color w:val="000000" w:themeColor="text1"/>
                <w:spacing w:val="-2"/>
                <w:sz w:val="16"/>
              </w:rPr>
              <w:t>5</w:t>
            </w:r>
            <w:r w:rsidRPr="00A7742C">
              <w:rPr>
                <w:color w:val="000000" w:themeColor="text1"/>
                <w:spacing w:val="-2"/>
                <w:sz w:val="16"/>
              </w:rPr>
              <w:t>00</w:t>
            </w:r>
          </w:p>
        </w:tc>
        <w:tc>
          <w:tcPr>
            <w:tcW w:w="1339" w:type="dxa"/>
            <w:tcBorders>
              <w:top w:val="nil"/>
              <w:left w:val="single" w:sz="8" w:space="0" w:color="000000"/>
              <w:bottom w:val="nil"/>
              <w:right w:val="single" w:sz="8" w:space="0" w:color="000000"/>
            </w:tcBorders>
          </w:tcPr>
          <w:p w14:paraId="220DC249" w14:textId="285CDEBD" w:rsidR="00CF7ED5" w:rsidRPr="000A69E4" w:rsidRDefault="00A82222" w:rsidP="005D4764">
            <w:pPr>
              <w:pStyle w:val="TableParagraph"/>
              <w:spacing w:before="28"/>
              <w:jc w:val="center"/>
              <w:rPr>
                <w:color w:val="000000" w:themeColor="text1"/>
                <w:spacing w:val="-2"/>
                <w:sz w:val="16"/>
              </w:rPr>
            </w:pPr>
            <w:r w:rsidRPr="000A69E4">
              <w:rPr>
                <w:color w:val="000000" w:themeColor="text1"/>
                <w:spacing w:val="-2"/>
                <w:sz w:val="16"/>
              </w:rPr>
              <w:t>£</w:t>
            </w:r>
            <w:r w:rsidR="000A69E4" w:rsidRPr="000A69E4">
              <w:rPr>
                <w:color w:val="000000" w:themeColor="text1"/>
                <w:spacing w:val="-2"/>
                <w:sz w:val="16"/>
              </w:rPr>
              <w:t>35</w:t>
            </w:r>
            <w:r w:rsidRPr="000A69E4">
              <w:rPr>
                <w:color w:val="000000" w:themeColor="text1"/>
                <w:spacing w:val="-2"/>
                <w:sz w:val="16"/>
              </w:rPr>
              <w:t>,</w:t>
            </w:r>
            <w:r w:rsidR="000A69E4" w:rsidRPr="000A69E4">
              <w:rPr>
                <w:color w:val="000000" w:themeColor="text1"/>
                <w:spacing w:val="-2"/>
                <w:sz w:val="16"/>
              </w:rPr>
              <w:t>3</w:t>
            </w:r>
            <w:r w:rsidRPr="000A69E4">
              <w:rPr>
                <w:color w:val="000000" w:themeColor="text1"/>
                <w:spacing w:val="-2"/>
                <w:sz w:val="16"/>
              </w:rPr>
              <w:t>00</w:t>
            </w:r>
          </w:p>
        </w:tc>
        <w:tc>
          <w:tcPr>
            <w:tcW w:w="1339" w:type="dxa"/>
            <w:tcBorders>
              <w:top w:val="nil"/>
              <w:left w:val="single" w:sz="8" w:space="0" w:color="000000"/>
              <w:bottom w:val="nil"/>
              <w:right w:val="single" w:sz="8" w:space="0" w:color="000000"/>
            </w:tcBorders>
          </w:tcPr>
          <w:p w14:paraId="04E32CD6" w14:textId="3CFA694D" w:rsidR="00CF7ED5" w:rsidRPr="00E82458" w:rsidRDefault="005F2463" w:rsidP="005D4764">
            <w:pPr>
              <w:pStyle w:val="TableParagraph"/>
              <w:spacing w:before="28"/>
              <w:jc w:val="center"/>
              <w:rPr>
                <w:color w:val="000000" w:themeColor="text1"/>
                <w:spacing w:val="-2"/>
                <w:sz w:val="16"/>
              </w:rPr>
            </w:pPr>
            <w:r w:rsidRPr="00E82458">
              <w:rPr>
                <w:color w:val="000000" w:themeColor="text1"/>
                <w:spacing w:val="-2"/>
                <w:sz w:val="16"/>
              </w:rPr>
              <w:t>£</w:t>
            </w:r>
            <w:r w:rsidR="00E82458" w:rsidRPr="00E82458">
              <w:rPr>
                <w:color w:val="000000" w:themeColor="text1"/>
                <w:spacing w:val="-2"/>
                <w:sz w:val="16"/>
              </w:rPr>
              <w:t>40,5</w:t>
            </w:r>
            <w:r w:rsidRPr="00E82458">
              <w:rPr>
                <w:color w:val="000000" w:themeColor="text1"/>
                <w:spacing w:val="-2"/>
                <w:sz w:val="16"/>
              </w:rPr>
              <w:t>00</w:t>
            </w:r>
          </w:p>
        </w:tc>
        <w:tc>
          <w:tcPr>
            <w:tcW w:w="1339" w:type="dxa"/>
            <w:tcBorders>
              <w:top w:val="nil"/>
              <w:left w:val="single" w:sz="8" w:space="0" w:color="000000"/>
              <w:bottom w:val="nil"/>
              <w:right w:val="single" w:sz="8" w:space="0" w:color="000000"/>
            </w:tcBorders>
          </w:tcPr>
          <w:p w14:paraId="1A3BB7B4" w14:textId="2FCDECA2" w:rsidR="00CF7ED5" w:rsidRPr="00E82458" w:rsidRDefault="005F2463" w:rsidP="005D4764">
            <w:pPr>
              <w:pStyle w:val="TableParagraph"/>
              <w:spacing w:before="28"/>
              <w:jc w:val="center"/>
              <w:rPr>
                <w:color w:val="000000" w:themeColor="text1"/>
                <w:spacing w:val="-2"/>
                <w:sz w:val="16"/>
              </w:rPr>
            </w:pPr>
            <w:r w:rsidRPr="00E82458">
              <w:rPr>
                <w:color w:val="000000" w:themeColor="text1"/>
                <w:spacing w:val="-2"/>
                <w:sz w:val="16"/>
              </w:rPr>
              <w:t>£</w:t>
            </w:r>
            <w:r w:rsidR="00E82458" w:rsidRPr="00E82458">
              <w:rPr>
                <w:color w:val="000000" w:themeColor="text1"/>
                <w:spacing w:val="-2"/>
                <w:sz w:val="16"/>
              </w:rPr>
              <w:t>35</w:t>
            </w:r>
            <w:r w:rsidRPr="00E82458">
              <w:rPr>
                <w:color w:val="000000" w:themeColor="text1"/>
                <w:spacing w:val="-2"/>
                <w:sz w:val="16"/>
              </w:rPr>
              <w:t>,</w:t>
            </w:r>
            <w:r w:rsidR="00E82458" w:rsidRPr="00E82458">
              <w:rPr>
                <w:color w:val="000000" w:themeColor="text1"/>
                <w:spacing w:val="-2"/>
                <w:sz w:val="16"/>
              </w:rPr>
              <w:t>5</w:t>
            </w:r>
            <w:r w:rsidRPr="00E82458">
              <w:rPr>
                <w:color w:val="000000" w:themeColor="text1"/>
                <w:spacing w:val="-2"/>
                <w:sz w:val="16"/>
              </w:rPr>
              <w:t>00</w:t>
            </w:r>
          </w:p>
        </w:tc>
      </w:tr>
      <w:tr w:rsidR="001427F1" w:rsidRPr="001427F1" w14:paraId="4AD638D2" w14:textId="77777777" w:rsidTr="00D3291C">
        <w:trPr>
          <w:trHeight w:hRule="exact" w:val="281"/>
        </w:trPr>
        <w:tc>
          <w:tcPr>
            <w:tcW w:w="936" w:type="dxa"/>
            <w:tcBorders>
              <w:top w:val="nil"/>
              <w:left w:val="single" w:sz="8" w:space="0" w:color="000000"/>
              <w:right w:val="single" w:sz="8" w:space="0" w:color="000000"/>
            </w:tcBorders>
          </w:tcPr>
          <w:p w14:paraId="5E7B348B" w14:textId="2926CABE" w:rsidR="00F25437" w:rsidRPr="00A7742C" w:rsidRDefault="00D3291C" w:rsidP="005D4764">
            <w:pPr>
              <w:pStyle w:val="TableParagraph"/>
              <w:spacing w:before="28"/>
              <w:ind w:left="4"/>
              <w:jc w:val="center"/>
              <w:rPr>
                <w:rFonts w:ascii="Arial" w:hAnsi="Arial" w:cs="Arial"/>
                <w:b/>
                <w:color w:val="000000" w:themeColor="text1"/>
                <w:spacing w:val="-1"/>
                <w:w w:val="105"/>
                <w:sz w:val="16"/>
                <w:szCs w:val="16"/>
              </w:rPr>
            </w:pPr>
            <w:r w:rsidRPr="00A7742C">
              <w:rPr>
                <w:rFonts w:ascii="Arial" w:hAnsi="Arial" w:cs="Arial"/>
                <w:b/>
                <w:color w:val="000000" w:themeColor="text1"/>
                <w:spacing w:val="-1"/>
                <w:w w:val="105"/>
                <w:sz w:val="16"/>
                <w:szCs w:val="16"/>
              </w:rPr>
              <w:t>25</w:t>
            </w:r>
          </w:p>
        </w:tc>
        <w:tc>
          <w:tcPr>
            <w:tcW w:w="1339" w:type="dxa"/>
            <w:tcBorders>
              <w:top w:val="nil"/>
              <w:left w:val="single" w:sz="8" w:space="0" w:color="000000"/>
              <w:right w:val="single" w:sz="8" w:space="0" w:color="000000"/>
            </w:tcBorders>
          </w:tcPr>
          <w:p w14:paraId="379B9555" w14:textId="560E7D81" w:rsidR="00F25437" w:rsidRPr="00A7742C" w:rsidRDefault="00D3291C" w:rsidP="005D4764">
            <w:pPr>
              <w:pStyle w:val="TableParagraph"/>
              <w:spacing w:before="28"/>
              <w:jc w:val="center"/>
              <w:rPr>
                <w:color w:val="000000" w:themeColor="text1"/>
                <w:spacing w:val="-2"/>
                <w:sz w:val="16"/>
              </w:rPr>
            </w:pPr>
            <w:r w:rsidRPr="00A7742C">
              <w:rPr>
                <w:color w:val="000000" w:themeColor="text1"/>
                <w:spacing w:val="-2"/>
                <w:sz w:val="16"/>
              </w:rPr>
              <w:t>£</w:t>
            </w:r>
            <w:r w:rsidR="00A7742C" w:rsidRPr="00A7742C">
              <w:rPr>
                <w:color w:val="000000" w:themeColor="text1"/>
                <w:spacing w:val="-2"/>
                <w:sz w:val="16"/>
              </w:rPr>
              <w:t>42</w:t>
            </w:r>
            <w:r w:rsidRPr="00A7742C">
              <w:rPr>
                <w:color w:val="000000" w:themeColor="text1"/>
                <w:spacing w:val="-2"/>
                <w:sz w:val="16"/>
              </w:rPr>
              <w:t>,</w:t>
            </w:r>
            <w:r w:rsidR="00A7742C" w:rsidRPr="00A7742C">
              <w:rPr>
                <w:color w:val="000000" w:themeColor="text1"/>
                <w:spacing w:val="-2"/>
                <w:sz w:val="16"/>
              </w:rPr>
              <w:t>5</w:t>
            </w:r>
            <w:r w:rsidRPr="00A7742C">
              <w:rPr>
                <w:color w:val="000000" w:themeColor="text1"/>
                <w:spacing w:val="-2"/>
                <w:sz w:val="16"/>
              </w:rPr>
              <w:t>00</w:t>
            </w:r>
          </w:p>
        </w:tc>
        <w:tc>
          <w:tcPr>
            <w:tcW w:w="1339" w:type="dxa"/>
            <w:tcBorders>
              <w:top w:val="nil"/>
              <w:left w:val="single" w:sz="8" w:space="0" w:color="000000"/>
              <w:right w:val="single" w:sz="8" w:space="0" w:color="000000"/>
            </w:tcBorders>
          </w:tcPr>
          <w:p w14:paraId="66BCB9BD" w14:textId="14E80E05" w:rsidR="00F25437" w:rsidRPr="00A7742C" w:rsidRDefault="00D3291C" w:rsidP="005D4764">
            <w:pPr>
              <w:pStyle w:val="TableParagraph"/>
              <w:spacing w:before="28"/>
              <w:jc w:val="center"/>
              <w:rPr>
                <w:color w:val="000000" w:themeColor="text1"/>
                <w:spacing w:val="-2"/>
                <w:sz w:val="16"/>
              </w:rPr>
            </w:pPr>
            <w:r w:rsidRPr="00A7742C">
              <w:rPr>
                <w:color w:val="000000" w:themeColor="text1"/>
                <w:spacing w:val="-2"/>
                <w:sz w:val="16"/>
              </w:rPr>
              <w:t>£</w:t>
            </w:r>
            <w:r w:rsidR="00A7742C" w:rsidRPr="00A7742C">
              <w:rPr>
                <w:color w:val="000000" w:themeColor="text1"/>
                <w:spacing w:val="-2"/>
                <w:sz w:val="16"/>
              </w:rPr>
              <w:t>35</w:t>
            </w:r>
            <w:r w:rsidRPr="00A7742C">
              <w:rPr>
                <w:color w:val="000000" w:themeColor="text1"/>
                <w:spacing w:val="-2"/>
                <w:sz w:val="16"/>
              </w:rPr>
              <w:t>,</w:t>
            </w:r>
            <w:r w:rsidR="00A7742C" w:rsidRPr="00A7742C">
              <w:rPr>
                <w:color w:val="000000" w:themeColor="text1"/>
                <w:spacing w:val="-2"/>
                <w:sz w:val="16"/>
              </w:rPr>
              <w:t>9</w:t>
            </w:r>
            <w:r w:rsidRPr="00A7742C">
              <w:rPr>
                <w:color w:val="000000" w:themeColor="text1"/>
                <w:spacing w:val="-2"/>
                <w:sz w:val="16"/>
              </w:rPr>
              <w:t>00</w:t>
            </w:r>
          </w:p>
        </w:tc>
        <w:tc>
          <w:tcPr>
            <w:tcW w:w="1339" w:type="dxa"/>
            <w:tcBorders>
              <w:top w:val="nil"/>
              <w:left w:val="single" w:sz="8" w:space="0" w:color="000000"/>
              <w:right w:val="single" w:sz="8" w:space="0" w:color="000000"/>
            </w:tcBorders>
          </w:tcPr>
          <w:p w14:paraId="712E7C05" w14:textId="5C2FFAE3" w:rsidR="00F25437" w:rsidRPr="00A7742C" w:rsidRDefault="00A82222" w:rsidP="005D4764">
            <w:pPr>
              <w:pStyle w:val="TableParagraph"/>
              <w:spacing w:before="28"/>
              <w:jc w:val="center"/>
              <w:rPr>
                <w:color w:val="000000" w:themeColor="text1"/>
                <w:spacing w:val="-2"/>
                <w:sz w:val="16"/>
              </w:rPr>
            </w:pPr>
            <w:r w:rsidRPr="00A7742C">
              <w:rPr>
                <w:color w:val="000000" w:themeColor="text1"/>
                <w:spacing w:val="-2"/>
                <w:sz w:val="16"/>
              </w:rPr>
              <w:t>£</w:t>
            </w:r>
            <w:r w:rsidR="00A7742C" w:rsidRPr="00A7742C">
              <w:rPr>
                <w:color w:val="000000" w:themeColor="text1"/>
                <w:spacing w:val="-2"/>
                <w:sz w:val="16"/>
              </w:rPr>
              <w:t>45</w:t>
            </w:r>
            <w:r w:rsidR="006F3284" w:rsidRPr="00A7742C">
              <w:rPr>
                <w:color w:val="000000" w:themeColor="text1"/>
                <w:spacing w:val="-2"/>
                <w:sz w:val="16"/>
              </w:rPr>
              <w:t>,</w:t>
            </w:r>
            <w:r w:rsidR="00A7742C" w:rsidRPr="00A7742C">
              <w:rPr>
                <w:color w:val="000000" w:themeColor="text1"/>
                <w:spacing w:val="-2"/>
                <w:sz w:val="16"/>
              </w:rPr>
              <w:t>7</w:t>
            </w:r>
            <w:r w:rsidRPr="00A7742C">
              <w:rPr>
                <w:color w:val="000000" w:themeColor="text1"/>
                <w:spacing w:val="-2"/>
                <w:sz w:val="16"/>
              </w:rPr>
              <w:t>00</w:t>
            </w:r>
          </w:p>
        </w:tc>
        <w:tc>
          <w:tcPr>
            <w:tcW w:w="1339" w:type="dxa"/>
            <w:tcBorders>
              <w:top w:val="nil"/>
              <w:left w:val="single" w:sz="8" w:space="0" w:color="000000"/>
              <w:right w:val="single" w:sz="8" w:space="0" w:color="000000"/>
            </w:tcBorders>
          </w:tcPr>
          <w:p w14:paraId="1F58CF65" w14:textId="133BEEB8" w:rsidR="00F25437" w:rsidRPr="000A69E4" w:rsidRDefault="00A82222" w:rsidP="005D4764">
            <w:pPr>
              <w:pStyle w:val="TableParagraph"/>
              <w:spacing w:before="28"/>
              <w:jc w:val="center"/>
              <w:rPr>
                <w:color w:val="000000" w:themeColor="text1"/>
                <w:spacing w:val="-2"/>
                <w:sz w:val="16"/>
              </w:rPr>
            </w:pPr>
            <w:r w:rsidRPr="000A69E4">
              <w:rPr>
                <w:color w:val="000000" w:themeColor="text1"/>
                <w:spacing w:val="-2"/>
                <w:sz w:val="16"/>
              </w:rPr>
              <w:t>£</w:t>
            </w:r>
            <w:r w:rsidR="000A69E4" w:rsidRPr="000A69E4">
              <w:rPr>
                <w:color w:val="000000" w:themeColor="text1"/>
                <w:spacing w:val="-2"/>
                <w:sz w:val="16"/>
              </w:rPr>
              <w:t>38</w:t>
            </w:r>
            <w:r w:rsidRPr="000A69E4">
              <w:rPr>
                <w:color w:val="000000" w:themeColor="text1"/>
                <w:spacing w:val="-2"/>
                <w:sz w:val="16"/>
              </w:rPr>
              <w:t>,</w:t>
            </w:r>
            <w:r w:rsidR="000A69E4" w:rsidRPr="000A69E4">
              <w:rPr>
                <w:color w:val="000000" w:themeColor="text1"/>
                <w:spacing w:val="-2"/>
                <w:sz w:val="16"/>
              </w:rPr>
              <w:t>4</w:t>
            </w:r>
            <w:r w:rsidRPr="000A69E4">
              <w:rPr>
                <w:color w:val="000000" w:themeColor="text1"/>
                <w:spacing w:val="-2"/>
                <w:sz w:val="16"/>
              </w:rPr>
              <w:t>00</w:t>
            </w:r>
          </w:p>
        </w:tc>
        <w:tc>
          <w:tcPr>
            <w:tcW w:w="1339" w:type="dxa"/>
            <w:tcBorders>
              <w:top w:val="nil"/>
              <w:left w:val="single" w:sz="8" w:space="0" w:color="000000"/>
              <w:right w:val="single" w:sz="8" w:space="0" w:color="000000"/>
            </w:tcBorders>
          </w:tcPr>
          <w:p w14:paraId="2D1907AC" w14:textId="243F1949" w:rsidR="00F25437" w:rsidRPr="00E82458" w:rsidRDefault="005F2463" w:rsidP="005D4764">
            <w:pPr>
              <w:pStyle w:val="TableParagraph"/>
              <w:spacing w:before="28"/>
              <w:jc w:val="center"/>
              <w:rPr>
                <w:color w:val="000000" w:themeColor="text1"/>
                <w:spacing w:val="-2"/>
                <w:sz w:val="16"/>
              </w:rPr>
            </w:pPr>
            <w:r w:rsidRPr="00E82458">
              <w:rPr>
                <w:color w:val="000000" w:themeColor="text1"/>
                <w:spacing w:val="-2"/>
                <w:sz w:val="16"/>
              </w:rPr>
              <w:t>£</w:t>
            </w:r>
            <w:r w:rsidR="00E82458" w:rsidRPr="00E82458">
              <w:rPr>
                <w:color w:val="000000" w:themeColor="text1"/>
                <w:spacing w:val="-2"/>
                <w:sz w:val="16"/>
              </w:rPr>
              <w:t>4</w:t>
            </w:r>
            <w:r w:rsidRPr="00E82458">
              <w:rPr>
                <w:color w:val="000000" w:themeColor="text1"/>
                <w:spacing w:val="-2"/>
                <w:sz w:val="16"/>
              </w:rPr>
              <w:t>5,</w:t>
            </w:r>
            <w:r w:rsidR="00E82458" w:rsidRPr="00E82458">
              <w:rPr>
                <w:color w:val="000000" w:themeColor="text1"/>
                <w:spacing w:val="-2"/>
                <w:sz w:val="16"/>
              </w:rPr>
              <w:t>7</w:t>
            </w:r>
            <w:r w:rsidRPr="00E82458">
              <w:rPr>
                <w:color w:val="000000" w:themeColor="text1"/>
                <w:spacing w:val="-2"/>
                <w:sz w:val="16"/>
              </w:rPr>
              <w:t>00</w:t>
            </w:r>
          </w:p>
        </w:tc>
        <w:tc>
          <w:tcPr>
            <w:tcW w:w="1339" w:type="dxa"/>
            <w:tcBorders>
              <w:top w:val="nil"/>
              <w:left w:val="single" w:sz="8" w:space="0" w:color="000000"/>
              <w:right w:val="single" w:sz="8" w:space="0" w:color="000000"/>
            </w:tcBorders>
          </w:tcPr>
          <w:p w14:paraId="34480AE1" w14:textId="3DDB377B" w:rsidR="00F25437" w:rsidRPr="00E82458" w:rsidRDefault="005F2463" w:rsidP="005D4764">
            <w:pPr>
              <w:pStyle w:val="TableParagraph"/>
              <w:spacing w:before="28"/>
              <w:jc w:val="center"/>
              <w:rPr>
                <w:color w:val="000000" w:themeColor="text1"/>
                <w:spacing w:val="-2"/>
                <w:sz w:val="16"/>
              </w:rPr>
            </w:pPr>
            <w:r w:rsidRPr="00E82458">
              <w:rPr>
                <w:color w:val="000000" w:themeColor="text1"/>
                <w:spacing w:val="-2"/>
                <w:sz w:val="16"/>
              </w:rPr>
              <w:t>£</w:t>
            </w:r>
            <w:r w:rsidR="00E82458" w:rsidRPr="00E82458">
              <w:rPr>
                <w:color w:val="000000" w:themeColor="text1"/>
                <w:spacing w:val="-2"/>
                <w:sz w:val="16"/>
              </w:rPr>
              <w:t>38</w:t>
            </w:r>
            <w:r w:rsidRPr="00E82458">
              <w:rPr>
                <w:color w:val="000000" w:themeColor="text1"/>
                <w:spacing w:val="-2"/>
                <w:sz w:val="16"/>
              </w:rPr>
              <w:t>,700</w:t>
            </w:r>
          </w:p>
        </w:tc>
      </w:tr>
      <w:tr w:rsidR="001427F1" w:rsidRPr="001427F1" w14:paraId="27C0FF4F" w14:textId="77777777" w:rsidTr="00D3291C">
        <w:trPr>
          <w:trHeight w:hRule="exact" w:val="281"/>
        </w:trPr>
        <w:tc>
          <w:tcPr>
            <w:tcW w:w="936" w:type="dxa"/>
            <w:tcBorders>
              <w:top w:val="nil"/>
              <w:left w:val="single" w:sz="8" w:space="0" w:color="000000"/>
              <w:bottom w:val="single" w:sz="4" w:space="0" w:color="auto"/>
              <w:right w:val="single" w:sz="8" w:space="0" w:color="000000"/>
            </w:tcBorders>
          </w:tcPr>
          <w:p w14:paraId="416D3A8E" w14:textId="3A588A37" w:rsidR="00F25437" w:rsidRPr="00A7742C" w:rsidRDefault="00D3291C" w:rsidP="005D4764">
            <w:pPr>
              <w:pStyle w:val="TableParagraph"/>
              <w:spacing w:before="28"/>
              <w:ind w:left="4"/>
              <w:jc w:val="center"/>
              <w:rPr>
                <w:rFonts w:ascii="Arial" w:hAnsi="Arial" w:cs="Arial"/>
                <w:b/>
                <w:color w:val="000000" w:themeColor="text1"/>
                <w:spacing w:val="-1"/>
                <w:w w:val="105"/>
                <w:sz w:val="16"/>
                <w:szCs w:val="16"/>
              </w:rPr>
            </w:pPr>
            <w:r w:rsidRPr="00A7742C">
              <w:rPr>
                <w:rFonts w:ascii="Arial" w:hAnsi="Arial" w:cs="Arial"/>
                <w:b/>
                <w:color w:val="000000" w:themeColor="text1"/>
                <w:spacing w:val="-1"/>
                <w:w w:val="105"/>
                <w:sz w:val="16"/>
                <w:szCs w:val="16"/>
              </w:rPr>
              <w:t>30</w:t>
            </w:r>
          </w:p>
        </w:tc>
        <w:tc>
          <w:tcPr>
            <w:tcW w:w="1339" w:type="dxa"/>
            <w:tcBorders>
              <w:top w:val="nil"/>
              <w:left w:val="single" w:sz="8" w:space="0" w:color="000000"/>
              <w:bottom w:val="single" w:sz="4" w:space="0" w:color="auto"/>
              <w:right w:val="single" w:sz="8" w:space="0" w:color="000000"/>
            </w:tcBorders>
          </w:tcPr>
          <w:p w14:paraId="166C2498" w14:textId="50BEA7F7" w:rsidR="00F25437" w:rsidRPr="00A7742C" w:rsidRDefault="00D3291C" w:rsidP="005D4764">
            <w:pPr>
              <w:pStyle w:val="TableParagraph"/>
              <w:spacing w:before="28"/>
              <w:jc w:val="center"/>
              <w:rPr>
                <w:color w:val="000000" w:themeColor="text1"/>
                <w:spacing w:val="-2"/>
                <w:sz w:val="16"/>
              </w:rPr>
            </w:pPr>
            <w:r w:rsidRPr="00A7742C">
              <w:rPr>
                <w:color w:val="000000" w:themeColor="text1"/>
                <w:spacing w:val="-2"/>
                <w:sz w:val="16"/>
              </w:rPr>
              <w:t>£</w:t>
            </w:r>
            <w:r w:rsidR="00A7742C" w:rsidRPr="00A7742C">
              <w:rPr>
                <w:color w:val="000000" w:themeColor="text1"/>
                <w:spacing w:val="-2"/>
                <w:sz w:val="16"/>
              </w:rPr>
              <w:t>47</w:t>
            </w:r>
            <w:r w:rsidRPr="00A7742C">
              <w:rPr>
                <w:color w:val="000000" w:themeColor="text1"/>
                <w:spacing w:val="-2"/>
                <w:sz w:val="16"/>
              </w:rPr>
              <w:t>,</w:t>
            </w:r>
            <w:r w:rsidR="00A7742C" w:rsidRPr="00A7742C">
              <w:rPr>
                <w:color w:val="000000" w:themeColor="text1"/>
                <w:spacing w:val="-2"/>
                <w:sz w:val="16"/>
              </w:rPr>
              <w:t>3</w:t>
            </w:r>
            <w:r w:rsidRPr="00A7742C">
              <w:rPr>
                <w:color w:val="000000" w:themeColor="text1"/>
                <w:spacing w:val="-2"/>
                <w:sz w:val="16"/>
              </w:rPr>
              <w:t>00</w:t>
            </w:r>
          </w:p>
        </w:tc>
        <w:tc>
          <w:tcPr>
            <w:tcW w:w="1339" w:type="dxa"/>
            <w:tcBorders>
              <w:top w:val="nil"/>
              <w:left w:val="single" w:sz="8" w:space="0" w:color="000000"/>
              <w:bottom w:val="single" w:sz="4" w:space="0" w:color="auto"/>
              <w:right w:val="single" w:sz="8" w:space="0" w:color="000000"/>
            </w:tcBorders>
          </w:tcPr>
          <w:p w14:paraId="4DC487E0" w14:textId="4963CBA9" w:rsidR="00F25437" w:rsidRPr="00A7742C" w:rsidRDefault="00D3291C" w:rsidP="005D4764">
            <w:pPr>
              <w:pStyle w:val="TableParagraph"/>
              <w:spacing w:before="28"/>
              <w:jc w:val="center"/>
              <w:rPr>
                <w:color w:val="000000" w:themeColor="text1"/>
                <w:spacing w:val="-2"/>
                <w:sz w:val="16"/>
              </w:rPr>
            </w:pPr>
            <w:r w:rsidRPr="00A7742C">
              <w:rPr>
                <w:color w:val="000000" w:themeColor="text1"/>
                <w:spacing w:val="-2"/>
                <w:sz w:val="16"/>
              </w:rPr>
              <w:t>£</w:t>
            </w:r>
            <w:r w:rsidR="00A7742C" w:rsidRPr="00A7742C">
              <w:rPr>
                <w:color w:val="000000" w:themeColor="text1"/>
                <w:spacing w:val="-2"/>
                <w:sz w:val="16"/>
              </w:rPr>
              <w:t>38</w:t>
            </w:r>
            <w:r w:rsidRPr="00A7742C">
              <w:rPr>
                <w:color w:val="000000" w:themeColor="text1"/>
                <w:spacing w:val="-2"/>
                <w:sz w:val="16"/>
              </w:rPr>
              <w:t>,</w:t>
            </w:r>
            <w:r w:rsidR="00A7742C" w:rsidRPr="00A7742C">
              <w:rPr>
                <w:color w:val="000000" w:themeColor="text1"/>
                <w:spacing w:val="-2"/>
                <w:sz w:val="16"/>
              </w:rPr>
              <w:t>6</w:t>
            </w:r>
            <w:r w:rsidRPr="00A7742C">
              <w:rPr>
                <w:color w:val="000000" w:themeColor="text1"/>
                <w:spacing w:val="-2"/>
                <w:sz w:val="16"/>
              </w:rPr>
              <w:t>00</w:t>
            </w:r>
          </w:p>
        </w:tc>
        <w:tc>
          <w:tcPr>
            <w:tcW w:w="1339" w:type="dxa"/>
            <w:tcBorders>
              <w:top w:val="nil"/>
              <w:left w:val="single" w:sz="8" w:space="0" w:color="000000"/>
              <w:bottom w:val="single" w:sz="4" w:space="0" w:color="auto"/>
              <w:right w:val="single" w:sz="8" w:space="0" w:color="000000"/>
            </w:tcBorders>
          </w:tcPr>
          <w:p w14:paraId="079D801C" w14:textId="594122E7" w:rsidR="00F25437" w:rsidRPr="00A7742C" w:rsidRDefault="00A82222" w:rsidP="005D4764">
            <w:pPr>
              <w:pStyle w:val="TableParagraph"/>
              <w:spacing w:before="28"/>
              <w:jc w:val="center"/>
              <w:rPr>
                <w:color w:val="000000" w:themeColor="text1"/>
                <w:spacing w:val="-2"/>
                <w:sz w:val="16"/>
              </w:rPr>
            </w:pPr>
            <w:r w:rsidRPr="00A7742C">
              <w:rPr>
                <w:color w:val="000000" w:themeColor="text1"/>
                <w:spacing w:val="-2"/>
                <w:sz w:val="16"/>
              </w:rPr>
              <w:t>£</w:t>
            </w:r>
            <w:r w:rsidR="00A7742C" w:rsidRPr="00A7742C">
              <w:rPr>
                <w:color w:val="000000" w:themeColor="text1"/>
                <w:spacing w:val="-2"/>
                <w:sz w:val="16"/>
              </w:rPr>
              <w:t>51</w:t>
            </w:r>
            <w:r w:rsidRPr="00A7742C">
              <w:rPr>
                <w:color w:val="000000" w:themeColor="text1"/>
                <w:spacing w:val="-2"/>
                <w:sz w:val="16"/>
              </w:rPr>
              <w:t>,</w:t>
            </w:r>
            <w:r w:rsidR="00A7742C" w:rsidRPr="00A7742C">
              <w:rPr>
                <w:color w:val="000000" w:themeColor="text1"/>
                <w:spacing w:val="-2"/>
                <w:sz w:val="16"/>
              </w:rPr>
              <w:t>5</w:t>
            </w:r>
            <w:r w:rsidRPr="00A7742C">
              <w:rPr>
                <w:color w:val="000000" w:themeColor="text1"/>
                <w:spacing w:val="-2"/>
                <w:sz w:val="16"/>
              </w:rPr>
              <w:t>00</w:t>
            </w:r>
          </w:p>
        </w:tc>
        <w:tc>
          <w:tcPr>
            <w:tcW w:w="1339" w:type="dxa"/>
            <w:tcBorders>
              <w:top w:val="nil"/>
              <w:left w:val="single" w:sz="8" w:space="0" w:color="000000"/>
              <w:bottom w:val="single" w:sz="4" w:space="0" w:color="auto"/>
              <w:right w:val="single" w:sz="8" w:space="0" w:color="000000"/>
            </w:tcBorders>
          </w:tcPr>
          <w:p w14:paraId="40485C95" w14:textId="27801236" w:rsidR="00F25437" w:rsidRPr="000A69E4" w:rsidRDefault="00A82222" w:rsidP="005D4764">
            <w:pPr>
              <w:pStyle w:val="TableParagraph"/>
              <w:spacing w:before="28"/>
              <w:jc w:val="center"/>
              <w:rPr>
                <w:color w:val="000000" w:themeColor="text1"/>
                <w:spacing w:val="-2"/>
                <w:sz w:val="16"/>
              </w:rPr>
            </w:pPr>
            <w:r w:rsidRPr="000A69E4">
              <w:rPr>
                <w:color w:val="000000" w:themeColor="text1"/>
                <w:spacing w:val="-2"/>
                <w:sz w:val="16"/>
              </w:rPr>
              <w:t>£</w:t>
            </w:r>
            <w:r w:rsidR="000A69E4" w:rsidRPr="000A69E4">
              <w:rPr>
                <w:color w:val="000000" w:themeColor="text1"/>
                <w:spacing w:val="-2"/>
                <w:sz w:val="16"/>
              </w:rPr>
              <w:t>41,900</w:t>
            </w:r>
          </w:p>
        </w:tc>
        <w:tc>
          <w:tcPr>
            <w:tcW w:w="1339" w:type="dxa"/>
            <w:tcBorders>
              <w:top w:val="nil"/>
              <w:left w:val="single" w:sz="8" w:space="0" w:color="000000"/>
              <w:bottom w:val="single" w:sz="4" w:space="0" w:color="auto"/>
              <w:right w:val="single" w:sz="8" w:space="0" w:color="000000"/>
            </w:tcBorders>
          </w:tcPr>
          <w:p w14:paraId="331492A0" w14:textId="3119D8F4" w:rsidR="00F25437" w:rsidRPr="00E82458" w:rsidRDefault="00356750" w:rsidP="005D4764">
            <w:pPr>
              <w:pStyle w:val="TableParagraph"/>
              <w:spacing w:before="28"/>
              <w:jc w:val="center"/>
              <w:rPr>
                <w:color w:val="000000" w:themeColor="text1"/>
                <w:spacing w:val="-2"/>
                <w:sz w:val="16"/>
              </w:rPr>
            </w:pPr>
            <w:r w:rsidRPr="00E82458">
              <w:rPr>
                <w:color w:val="000000" w:themeColor="text1"/>
                <w:spacing w:val="-2"/>
                <w:sz w:val="16"/>
              </w:rPr>
              <w:t>£</w:t>
            </w:r>
            <w:r w:rsidR="00E82458" w:rsidRPr="00E82458">
              <w:rPr>
                <w:color w:val="000000" w:themeColor="text1"/>
                <w:spacing w:val="-2"/>
                <w:sz w:val="16"/>
              </w:rPr>
              <w:t>51</w:t>
            </w:r>
            <w:r w:rsidRPr="00E82458">
              <w:rPr>
                <w:color w:val="000000" w:themeColor="text1"/>
                <w:spacing w:val="-2"/>
                <w:sz w:val="16"/>
              </w:rPr>
              <w:t>,</w:t>
            </w:r>
            <w:r w:rsidR="00E82458" w:rsidRPr="00E82458">
              <w:rPr>
                <w:color w:val="000000" w:themeColor="text1"/>
                <w:spacing w:val="-2"/>
                <w:sz w:val="16"/>
              </w:rPr>
              <w:t>5</w:t>
            </w:r>
            <w:r w:rsidRPr="00E82458">
              <w:rPr>
                <w:color w:val="000000" w:themeColor="text1"/>
                <w:spacing w:val="-2"/>
                <w:sz w:val="16"/>
              </w:rPr>
              <w:t>00</w:t>
            </w:r>
          </w:p>
        </w:tc>
        <w:tc>
          <w:tcPr>
            <w:tcW w:w="1339" w:type="dxa"/>
            <w:tcBorders>
              <w:top w:val="nil"/>
              <w:left w:val="single" w:sz="8" w:space="0" w:color="000000"/>
              <w:bottom w:val="single" w:sz="4" w:space="0" w:color="auto"/>
              <w:right w:val="single" w:sz="8" w:space="0" w:color="000000"/>
            </w:tcBorders>
          </w:tcPr>
          <w:p w14:paraId="3749DD71" w14:textId="75B88E71" w:rsidR="00F25437" w:rsidRPr="00E82458" w:rsidRDefault="00356750" w:rsidP="005D4764">
            <w:pPr>
              <w:pStyle w:val="TableParagraph"/>
              <w:spacing w:before="28"/>
              <w:jc w:val="center"/>
              <w:rPr>
                <w:color w:val="000000" w:themeColor="text1"/>
                <w:spacing w:val="-2"/>
                <w:sz w:val="16"/>
              </w:rPr>
            </w:pPr>
            <w:r w:rsidRPr="00E82458">
              <w:rPr>
                <w:color w:val="000000" w:themeColor="text1"/>
                <w:spacing w:val="-2"/>
                <w:sz w:val="16"/>
              </w:rPr>
              <w:t>£</w:t>
            </w:r>
            <w:r w:rsidR="00E82458" w:rsidRPr="00E82458">
              <w:rPr>
                <w:color w:val="000000" w:themeColor="text1"/>
                <w:spacing w:val="-2"/>
                <w:sz w:val="16"/>
              </w:rPr>
              <w:t>42</w:t>
            </w:r>
            <w:r w:rsidRPr="00E82458">
              <w:rPr>
                <w:color w:val="000000" w:themeColor="text1"/>
                <w:spacing w:val="-2"/>
                <w:sz w:val="16"/>
              </w:rPr>
              <w:t>,</w:t>
            </w:r>
            <w:r w:rsidR="00E82458" w:rsidRPr="00E82458">
              <w:rPr>
                <w:color w:val="000000" w:themeColor="text1"/>
                <w:spacing w:val="-2"/>
                <w:sz w:val="16"/>
              </w:rPr>
              <w:t>3</w:t>
            </w:r>
            <w:r w:rsidRPr="00E82458">
              <w:rPr>
                <w:color w:val="000000" w:themeColor="text1"/>
                <w:spacing w:val="-2"/>
                <w:sz w:val="16"/>
              </w:rPr>
              <w:t>00</w:t>
            </w:r>
          </w:p>
        </w:tc>
      </w:tr>
    </w:tbl>
    <w:p w14:paraId="35C9F09A" w14:textId="4FCC25B3" w:rsidR="00CF7ED5" w:rsidRPr="001009B8" w:rsidRDefault="001009B8" w:rsidP="001009B8">
      <w:pPr>
        <w:spacing w:after="0" w:line="240" w:lineRule="auto"/>
        <w:ind w:left="0" w:firstLine="0"/>
        <w:rPr>
          <w:rFonts w:asciiTheme="majorHAnsi" w:hAnsiTheme="majorHAnsi" w:cstheme="majorHAnsi"/>
          <w:color w:val="000000" w:themeColor="text1"/>
          <w:sz w:val="16"/>
          <w:szCs w:val="16"/>
        </w:rPr>
      </w:pPr>
      <w:r w:rsidRPr="001009B8">
        <w:rPr>
          <w:rFonts w:asciiTheme="majorHAnsi" w:hAnsiTheme="majorHAnsi" w:cstheme="majorHAnsi"/>
          <w:b/>
          <w:bCs/>
          <w:color w:val="000000" w:themeColor="text1"/>
          <w:sz w:val="16"/>
          <w:szCs w:val="16"/>
        </w:rPr>
        <w:t>Source:</w:t>
      </w:r>
      <w:r w:rsidRPr="001009B8">
        <w:rPr>
          <w:rFonts w:asciiTheme="majorHAnsi" w:hAnsiTheme="majorHAnsi" w:cstheme="majorHAnsi"/>
          <w:color w:val="000000" w:themeColor="text1"/>
          <w:sz w:val="16"/>
          <w:szCs w:val="16"/>
        </w:rPr>
        <w:t xml:space="preserve"> Aviva</w:t>
      </w:r>
    </w:p>
    <w:p w14:paraId="7810BFE4" w14:textId="77777777" w:rsidR="00C32EDC" w:rsidRDefault="00C32EDC" w:rsidP="00C8437E">
      <w:pPr>
        <w:spacing w:after="0" w:line="240" w:lineRule="auto"/>
        <w:ind w:left="0" w:firstLine="0"/>
        <w:jc w:val="both"/>
        <w:rPr>
          <w:rFonts w:asciiTheme="majorHAnsi" w:hAnsiTheme="majorHAnsi" w:cstheme="majorHAnsi"/>
          <w:color w:val="000000" w:themeColor="text1"/>
          <w:sz w:val="20"/>
          <w:szCs w:val="20"/>
        </w:rPr>
      </w:pPr>
    </w:p>
    <w:tbl>
      <w:tblPr>
        <w:tblW w:w="0" w:type="auto"/>
        <w:tblInd w:w="92" w:type="dxa"/>
        <w:tblLayout w:type="fixed"/>
        <w:tblCellMar>
          <w:left w:w="0" w:type="dxa"/>
          <w:right w:w="0" w:type="dxa"/>
        </w:tblCellMar>
        <w:tblLook w:val="01E0" w:firstRow="1" w:lastRow="1" w:firstColumn="1" w:lastColumn="1" w:noHBand="0" w:noVBand="0"/>
      </w:tblPr>
      <w:tblGrid>
        <w:gridCol w:w="936"/>
        <w:gridCol w:w="1339"/>
        <w:gridCol w:w="1734"/>
        <w:gridCol w:w="1843"/>
        <w:gridCol w:w="1701"/>
      </w:tblGrid>
      <w:tr w:rsidR="00C216FC" w:rsidRPr="001427F1" w14:paraId="5F6E63FD" w14:textId="77777777" w:rsidTr="00C216FC">
        <w:trPr>
          <w:trHeight w:hRule="exact" w:val="576"/>
        </w:trPr>
        <w:tc>
          <w:tcPr>
            <w:tcW w:w="936" w:type="dxa"/>
            <w:tcBorders>
              <w:top w:val="single" w:sz="8" w:space="0" w:color="000000"/>
              <w:left w:val="single" w:sz="8" w:space="0" w:color="000000"/>
              <w:right w:val="single" w:sz="8" w:space="0" w:color="000000"/>
            </w:tcBorders>
            <w:shd w:val="clear" w:color="auto" w:fill="F2F2F2" w:themeFill="background1" w:themeFillShade="F2"/>
          </w:tcPr>
          <w:p w14:paraId="111ADBA1" w14:textId="77777777" w:rsidR="00C216FC" w:rsidRPr="001427F1" w:rsidRDefault="00C216FC" w:rsidP="005D4764">
            <w:pPr>
              <w:rPr>
                <w:rFonts w:ascii="Arial" w:hAnsi="Arial" w:cs="Arial"/>
                <w:color w:val="FF0000"/>
              </w:rPr>
            </w:pPr>
          </w:p>
        </w:tc>
        <w:tc>
          <w:tcPr>
            <w:tcW w:w="6617" w:type="dxa"/>
            <w:gridSpan w:val="4"/>
            <w:tcBorders>
              <w:top w:val="single" w:sz="8" w:space="0" w:color="000000"/>
              <w:left w:val="single" w:sz="8" w:space="0" w:color="000000"/>
              <w:bottom w:val="single" w:sz="8" w:space="0" w:color="000000"/>
              <w:right w:val="single" w:sz="8" w:space="0" w:color="000000"/>
            </w:tcBorders>
            <w:shd w:val="clear" w:color="auto" w:fill="F1F1F1"/>
            <w:vAlign w:val="center"/>
          </w:tcPr>
          <w:p w14:paraId="124E6291" w14:textId="77777777" w:rsidR="00C216FC" w:rsidRPr="00C32EDC" w:rsidRDefault="00C216FC" w:rsidP="005D4764">
            <w:pPr>
              <w:pStyle w:val="TableParagraph"/>
              <w:spacing w:before="10"/>
              <w:jc w:val="center"/>
              <w:rPr>
                <w:rFonts w:ascii="Arial" w:hAnsi="Arial" w:cs="Arial"/>
                <w:b/>
                <w:color w:val="000000" w:themeColor="text1"/>
                <w:spacing w:val="11"/>
                <w:sz w:val="19"/>
              </w:rPr>
            </w:pPr>
            <w:r w:rsidRPr="00C32EDC">
              <w:rPr>
                <w:rFonts w:ascii="Arial" w:hAnsi="Arial" w:cs="Arial"/>
                <w:b/>
                <w:color w:val="000000" w:themeColor="text1"/>
                <w:spacing w:val="-1"/>
                <w:sz w:val="19"/>
              </w:rPr>
              <w:t>Illustration</w:t>
            </w:r>
            <w:r w:rsidRPr="00C32EDC">
              <w:rPr>
                <w:rFonts w:ascii="Arial" w:hAnsi="Arial" w:cs="Arial"/>
                <w:b/>
                <w:color w:val="000000" w:themeColor="text1"/>
                <w:spacing w:val="8"/>
                <w:sz w:val="19"/>
              </w:rPr>
              <w:t xml:space="preserve"> </w:t>
            </w:r>
            <w:r w:rsidRPr="00C32EDC">
              <w:rPr>
                <w:rFonts w:ascii="Arial" w:hAnsi="Arial" w:cs="Arial"/>
                <w:b/>
                <w:color w:val="000000" w:themeColor="text1"/>
                <w:sz w:val="19"/>
              </w:rPr>
              <w:t>of</w:t>
            </w:r>
            <w:r w:rsidRPr="00C32EDC">
              <w:rPr>
                <w:rFonts w:ascii="Arial" w:hAnsi="Arial" w:cs="Arial"/>
                <w:b/>
                <w:color w:val="000000" w:themeColor="text1"/>
                <w:spacing w:val="11"/>
                <w:sz w:val="19"/>
              </w:rPr>
              <w:t xml:space="preserve"> </w:t>
            </w:r>
            <w:r w:rsidRPr="00C32EDC">
              <w:rPr>
                <w:rFonts w:ascii="Arial" w:hAnsi="Arial" w:cs="Arial"/>
                <w:b/>
                <w:color w:val="000000" w:themeColor="text1"/>
                <w:sz w:val="19"/>
              </w:rPr>
              <w:t>effect</w:t>
            </w:r>
            <w:r w:rsidRPr="00C32EDC">
              <w:rPr>
                <w:rFonts w:ascii="Arial" w:hAnsi="Arial" w:cs="Arial"/>
                <w:b/>
                <w:color w:val="000000" w:themeColor="text1"/>
                <w:spacing w:val="10"/>
                <w:sz w:val="19"/>
              </w:rPr>
              <w:t xml:space="preserve"> </w:t>
            </w:r>
            <w:r w:rsidRPr="00C32EDC">
              <w:rPr>
                <w:rFonts w:ascii="Arial" w:hAnsi="Arial" w:cs="Arial"/>
                <w:b/>
                <w:color w:val="000000" w:themeColor="text1"/>
                <w:sz w:val="19"/>
              </w:rPr>
              <w:t>of</w:t>
            </w:r>
            <w:r w:rsidRPr="00C32EDC">
              <w:rPr>
                <w:rFonts w:ascii="Arial" w:hAnsi="Arial" w:cs="Arial"/>
                <w:b/>
                <w:color w:val="000000" w:themeColor="text1"/>
                <w:spacing w:val="11"/>
                <w:sz w:val="19"/>
              </w:rPr>
              <w:t xml:space="preserve"> </w:t>
            </w:r>
            <w:r w:rsidRPr="00C32EDC">
              <w:rPr>
                <w:rFonts w:ascii="Arial" w:hAnsi="Arial" w:cs="Arial"/>
                <w:b/>
                <w:color w:val="000000" w:themeColor="text1"/>
                <w:sz w:val="19"/>
              </w:rPr>
              <w:t>costs</w:t>
            </w:r>
            <w:r w:rsidRPr="00C32EDC">
              <w:rPr>
                <w:rFonts w:ascii="Arial" w:hAnsi="Arial" w:cs="Arial"/>
                <w:b/>
                <w:color w:val="000000" w:themeColor="text1"/>
                <w:spacing w:val="10"/>
                <w:sz w:val="19"/>
              </w:rPr>
              <w:t xml:space="preserve"> </w:t>
            </w:r>
            <w:r w:rsidRPr="00C32EDC">
              <w:rPr>
                <w:rFonts w:ascii="Arial" w:hAnsi="Arial" w:cs="Arial"/>
                <w:b/>
                <w:color w:val="000000" w:themeColor="text1"/>
                <w:spacing w:val="-1"/>
                <w:sz w:val="19"/>
              </w:rPr>
              <w:t>and</w:t>
            </w:r>
            <w:r w:rsidRPr="00C32EDC">
              <w:rPr>
                <w:rFonts w:ascii="Arial" w:hAnsi="Arial" w:cs="Arial"/>
                <w:b/>
                <w:color w:val="000000" w:themeColor="text1"/>
                <w:spacing w:val="9"/>
                <w:sz w:val="19"/>
              </w:rPr>
              <w:t xml:space="preserve"> </w:t>
            </w:r>
            <w:r w:rsidRPr="00C32EDC">
              <w:rPr>
                <w:rFonts w:ascii="Arial" w:hAnsi="Arial" w:cs="Arial"/>
                <w:b/>
                <w:color w:val="000000" w:themeColor="text1"/>
                <w:spacing w:val="-1"/>
                <w:sz w:val="19"/>
              </w:rPr>
              <w:t>charges</w:t>
            </w:r>
            <w:r w:rsidRPr="00C32EDC">
              <w:rPr>
                <w:rFonts w:ascii="Arial" w:hAnsi="Arial" w:cs="Arial"/>
                <w:b/>
                <w:color w:val="000000" w:themeColor="text1"/>
                <w:spacing w:val="10"/>
                <w:sz w:val="19"/>
              </w:rPr>
              <w:t xml:space="preserve"> </w:t>
            </w:r>
            <w:r w:rsidRPr="00C32EDC">
              <w:rPr>
                <w:rFonts w:ascii="Arial" w:hAnsi="Arial" w:cs="Arial"/>
                <w:b/>
                <w:color w:val="000000" w:themeColor="text1"/>
                <w:sz w:val="19"/>
              </w:rPr>
              <w:t>for</w:t>
            </w:r>
            <w:r w:rsidRPr="00C32EDC">
              <w:rPr>
                <w:rFonts w:ascii="Arial" w:hAnsi="Arial" w:cs="Arial"/>
                <w:b/>
                <w:color w:val="000000" w:themeColor="text1"/>
                <w:spacing w:val="9"/>
                <w:sz w:val="19"/>
              </w:rPr>
              <w:t xml:space="preserve"> typical </w:t>
            </w:r>
            <w:r w:rsidRPr="00C32EDC">
              <w:rPr>
                <w:rFonts w:ascii="Arial" w:hAnsi="Arial" w:cs="Arial"/>
                <w:b/>
                <w:color w:val="000000" w:themeColor="text1"/>
                <w:spacing w:val="-1"/>
                <w:sz w:val="19"/>
              </w:rPr>
              <w:t>funds</w:t>
            </w:r>
            <w:r w:rsidRPr="00C32EDC">
              <w:rPr>
                <w:rFonts w:ascii="Arial" w:hAnsi="Arial" w:cs="Arial"/>
                <w:b/>
                <w:color w:val="000000" w:themeColor="text1"/>
                <w:spacing w:val="11"/>
                <w:sz w:val="19"/>
              </w:rPr>
              <w:t xml:space="preserve"> </w:t>
            </w:r>
          </w:p>
          <w:p w14:paraId="69E33C53" w14:textId="2333B909" w:rsidR="00C216FC" w:rsidRPr="00C32EDC" w:rsidRDefault="00C216FC" w:rsidP="005D4764">
            <w:pPr>
              <w:pStyle w:val="TableParagraph"/>
              <w:spacing w:before="10"/>
              <w:jc w:val="center"/>
              <w:rPr>
                <w:rFonts w:ascii="Arial" w:hAnsi="Arial" w:cs="Arial"/>
                <w:b/>
                <w:color w:val="000000" w:themeColor="text1"/>
                <w:spacing w:val="-1"/>
                <w:sz w:val="19"/>
              </w:rPr>
            </w:pPr>
            <w:r w:rsidRPr="00C32EDC">
              <w:rPr>
                <w:rFonts w:ascii="Arial" w:hAnsi="Arial" w:cs="Arial"/>
                <w:b/>
                <w:color w:val="000000" w:themeColor="text1"/>
                <w:spacing w:val="11"/>
                <w:sz w:val="19"/>
              </w:rPr>
              <w:t>under the Aviva AVC arrangement</w:t>
            </w:r>
          </w:p>
        </w:tc>
      </w:tr>
      <w:tr w:rsidR="00C216FC" w:rsidRPr="001427F1" w14:paraId="247A8C0D" w14:textId="77777777" w:rsidTr="00C216FC">
        <w:trPr>
          <w:trHeight w:hRule="exact" w:val="495"/>
        </w:trPr>
        <w:tc>
          <w:tcPr>
            <w:tcW w:w="936" w:type="dxa"/>
            <w:vMerge w:val="restart"/>
            <w:tcBorders>
              <w:top w:val="single" w:sz="8" w:space="0" w:color="000000"/>
              <w:left w:val="single" w:sz="8" w:space="0" w:color="000000"/>
              <w:right w:val="single" w:sz="8" w:space="0" w:color="000000"/>
            </w:tcBorders>
            <w:shd w:val="clear" w:color="auto" w:fill="F2F2F2" w:themeFill="background1" w:themeFillShade="F2"/>
          </w:tcPr>
          <w:p w14:paraId="28FEC46B" w14:textId="77777777" w:rsidR="00C216FC" w:rsidRPr="001427F1" w:rsidRDefault="00C216FC" w:rsidP="005D4764">
            <w:pPr>
              <w:rPr>
                <w:rFonts w:ascii="Arial" w:hAnsi="Arial" w:cs="Arial"/>
                <w:color w:val="FF0000"/>
              </w:rPr>
            </w:pPr>
          </w:p>
        </w:tc>
        <w:tc>
          <w:tcPr>
            <w:tcW w:w="3073"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50C1F8BD" w14:textId="77777777" w:rsidR="00C216FC" w:rsidRPr="00DD6016" w:rsidRDefault="00C216FC" w:rsidP="005D4764">
            <w:pPr>
              <w:pStyle w:val="TableParagraph"/>
              <w:spacing w:line="288" w:lineRule="auto"/>
              <w:jc w:val="center"/>
              <w:rPr>
                <w:rFonts w:ascii="Arial" w:eastAsia="Source Sans Pro" w:hAnsi="Arial" w:cs="Arial"/>
                <w:color w:val="000000" w:themeColor="text1"/>
                <w:sz w:val="16"/>
                <w:szCs w:val="16"/>
              </w:rPr>
            </w:pPr>
            <w:r w:rsidRPr="00DD6016">
              <w:rPr>
                <w:rFonts w:ascii="Arial" w:eastAsia="Source Sans Pro" w:hAnsi="Arial" w:cs="Arial"/>
                <w:b/>
                <w:bCs/>
                <w:color w:val="000000" w:themeColor="text1"/>
                <w:sz w:val="16"/>
                <w:szCs w:val="16"/>
              </w:rPr>
              <w:t>With-Profits (NU)</w:t>
            </w:r>
          </w:p>
        </w:tc>
        <w:tc>
          <w:tcPr>
            <w:tcW w:w="3544"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3C704985" w14:textId="77777777" w:rsidR="00C216FC" w:rsidRPr="005976EC" w:rsidRDefault="00C216FC" w:rsidP="005D4764">
            <w:pPr>
              <w:pStyle w:val="TableParagraph"/>
              <w:jc w:val="center"/>
              <w:rPr>
                <w:rFonts w:ascii="Arial" w:eastAsia="Source Sans Pro" w:hAnsi="Arial" w:cs="Arial"/>
                <w:color w:val="000000" w:themeColor="text1"/>
                <w:sz w:val="16"/>
                <w:szCs w:val="16"/>
              </w:rPr>
            </w:pPr>
            <w:r>
              <w:rPr>
                <w:rFonts w:ascii="Arial" w:hAnsi="Arial" w:cs="Arial"/>
                <w:b/>
                <w:color w:val="000000" w:themeColor="text1"/>
                <w:spacing w:val="-6"/>
                <w:w w:val="105"/>
                <w:sz w:val="16"/>
                <w:szCs w:val="16"/>
              </w:rPr>
              <w:t>Deposit</w:t>
            </w:r>
          </w:p>
        </w:tc>
      </w:tr>
      <w:tr w:rsidR="00C216FC" w:rsidRPr="001427F1" w14:paraId="1E24B003" w14:textId="77777777" w:rsidTr="00C216FC">
        <w:trPr>
          <w:trHeight w:hRule="exact" w:val="852"/>
        </w:trPr>
        <w:tc>
          <w:tcPr>
            <w:tcW w:w="936" w:type="dxa"/>
            <w:vMerge/>
            <w:tcBorders>
              <w:left w:val="single" w:sz="8" w:space="0" w:color="000000"/>
              <w:right w:val="single" w:sz="8" w:space="0" w:color="000000"/>
            </w:tcBorders>
            <w:shd w:val="clear" w:color="auto" w:fill="F2F2F2" w:themeFill="background1" w:themeFillShade="F2"/>
          </w:tcPr>
          <w:p w14:paraId="0C5B8FB0" w14:textId="77777777" w:rsidR="00C216FC" w:rsidRPr="001427F1" w:rsidRDefault="00C216FC" w:rsidP="005D4764">
            <w:pPr>
              <w:rPr>
                <w:rFonts w:ascii="Arial" w:hAnsi="Arial" w:cs="Arial"/>
                <w:color w:val="FF0000"/>
              </w:rPr>
            </w:pPr>
          </w:p>
        </w:tc>
        <w:tc>
          <w:tcPr>
            <w:tcW w:w="3073" w:type="dxa"/>
            <w:gridSpan w:val="2"/>
            <w:tcBorders>
              <w:top w:val="single" w:sz="8" w:space="0" w:color="000000"/>
              <w:left w:val="single" w:sz="8" w:space="0" w:color="000000"/>
              <w:bottom w:val="single" w:sz="8" w:space="0" w:color="000000"/>
              <w:right w:val="single" w:sz="8" w:space="0" w:color="000000"/>
            </w:tcBorders>
            <w:shd w:val="clear" w:color="auto" w:fill="F1F1F1"/>
          </w:tcPr>
          <w:p w14:paraId="2FA418EC" w14:textId="77777777" w:rsidR="00C216FC" w:rsidRPr="00DD6016" w:rsidRDefault="00C216FC" w:rsidP="005D4764">
            <w:pPr>
              <w:pStyle w:val="TableParagraph"/>
              <w:spacing w:before="45"/>
              <w:jc w:val="center"/>
              <w:rPr>
                <w:rFonts w:ascii="Arial" w:hAnsi="Arial" w:cs="Arial"/>
                <w:b/>
                <w:color w:val="000000" w:themeColor="text1"/>
                <w:spacing w:val="-3"/>
                <w:w w:val="105"/>
                <w:sz w:val="16"/>
                <w:szCs w:val="16"/>
              </w:rPr>
            </w:pPr>
            <w:r w:rsidRPr="00DD6016">
              <w:rPr>
                <w:rFonts w:ascii="Arial" w:hAnsi="Arial" w:cs="Arial"/>
                <w:b/>
                <w:color w:val="000000" w:themeColor="text1"/>
                <w:spacing w:val="-1"/>
                <w:w w:val="105"/>
                <w:sz w:val="16"/>
                <w:szCs w:val="16"/>
              </w:rPr>
              <w:t>Assumed</w:t>
            </w:r>
            <w:r w:rsidRPr="00DD6016">
              <w:rPr>
                <w:rFonts w:ascii="Arial" w:hAnsi="Arial" w:cs="Arial"/>
                <w:b/>
                <w:color w:val="000000" w:themeColor="text1"/>
                <w:spacing w:val="-4"/>
                <w:w w:val="105"/>
                <w:sz w:val="16"/>
                <w:szCs w:val="16"/>
              </w:rPr>
              <w:t xml:space="preserve"> </w:t>
            </w:r>
            <w:r w:rsidRPr="00DD6016">
              <w:rPr>
                <w:rFonts w:ascii="Arial" w:hAnsi="Arial" w:cs="Arial"/>
                <w:b/>
                <w:color w:val="000000" w:themeColor="text1"/>
                <w:spacing w:val="-1"/>
                <w:w w:val="105"/>
                <w:sz w:val="16"/>
                <w:szCs w:val="16"/>
              </w:rPr>
              <w:t>growth</w:t>
            </w:r>
            <w:r w:rsidRPr="00DD6016">
              <w:rPr>
                <w:rFonts w:ascii="Arial" w:hAnsi="Arial" w:cs="Arial"/>
                <w:b/>
                <w:color w:val="000000" w:themeColor="text1"/>
                <w:spacing w:val="-4"/>
                <w:w w:val="105"/>
                <w:sz w:val="16"/>
                <w:szCs w:val="16"/>
              </w:rPr>
              <w:t xml:space="preserve"> </w:t>
            </w:r>
            <w:r w:rsidRPr="00DD6016">
              <w:rPr>
                <w:rFonts w:ascii="Arial" w:hAnsi="Arial" w:cs="Arial"/>
                <w:b/>
                <w:color w:val="000000" w:themeColor="text1"/>
                <w:spacing w:val="-1"/>
                <w:w w:val="105"/>
                <w:sz w:val="16"/>
                <w:szCs w:val="16"/>
              </w:rPr>
              <w:t>rate</w:t>
            </w:r>
          </w:p>
          <w:p w14:paraId="455CE23C" w14:textId="77777777" w:rsidR="00C216FC" w:rsidRPr="00DD6016" w:rsidRDefault="00C216FC" w:rsidP="005D4764">
            <w:pPr>
              <w:pStyle w:val="TableParagraph"/>
              <w:spacing w:before="45"/>
              <w:jc w:val="center"/>
              <w:rPr>
                <w:rFonts w:ascii="Arial" w:hAnsi="Arial" w:cs="Arial"/>
                <w:b/>
                <w:color w:val="000000" w:themeColor="text1"/>
                <w:spacing w:val="-3"/>
                <w:w w:val="105"/>
                <w:sz w:val="16"/>
                <w:szCs w:val="16"/>
              </w:rPr>
            </w:pPr>
            <w:r w:rsidRPr="00DD6016">
              <w:rPr>
                <w:rFonts w:ascii="Arial" w:hAnsi="Arial" w:cs="Arial"/>
                <w:b/>
                <w:color w:val="000000" w:themeColor="text1"/>
                <w:spacing w:val="-3"/>
                <w:w w:val="105"/>
                <w:sz w:val="16"/>
                <w:szCs w:val="16"/>
              </w:rPr>
              <w:t>before inflation</w:t>
            </w:r>
          </w:p>
          <w:p w14:paraId="17600319" w14:textId="45B3151B" w:rsidR="00C216FC" w:rsidRPr="00DD6016" w:rsidRDefault="00DD6016" w:rsidP="005D4764">
            <w:pPr>
              <w:pStyle w:val="TableParagraph"/>
              <w:spacing w:before="45"/>
              <w:jc w:val="center"/>
              <w:rPr>
                <w:rFonts w:ascii="Arial" w:eastAsia="Source Sans Pro" w:hAnsi="Arial" w:cs="Arial"/>
                <w:color w:val="000000" w:themeColor="text1"/>
                <w:sz w:val="16"/>
                <w:szCs w:val="16"/>
              </w:rPr>
            </w:pPr>
            <w:r>
              <w:rPr>
                <w:rFonts w:ascii="Arial" w:hAnsi="Arial" w:cs="Arial"/>
                <w:b/>
                <w:color w:val="000000" w:themeColor="text1"/>
                <w:spacing w:val="-1"/>
                <w:w w:val="105"/>
                <w:sz w:val="16"/>
                <w:szCs w:val="16"/>
              </w:rPr>
              <w:t>4</w:t>
            </w:r>
            <w:r w:rsidR="00C216FC" w:rsidRPr="00DD6016">
              <w:rPr>
                <w:rFonts w:ascii="Arial" w:hAnsi="Arial" w:cs="Arial"/>
                <w:b/>
                <w:color w:val="000000" w:themeColor="text1"/>
                <w:spacing w:val="-1"/>
                <w:w w:val="105"/>
                <w:sz w:val="16"/>
                <w:szCs w:val="16"/>
              </w:rPr>
              <w:t>.6% pa</w:t>
            </w:r>
          </w:p>
        </w:tc>
        <w:tc>
          <w:tcPr>
            <w:tcW w:w="3544" w:type="dxa"/>
            <w:gridSpan w:val="2"/>
            <w:tcBorders>
              <w:top w:val="single" w:sz="8" w:space="0" w:color="000000"/>
              <w:left w:val="single" w:sz="8" w:space="0" w:color="000000"/>
              <w:bottom w:val="single" w:sz="8" w:space="0" w:color="000000"/>
              <w:right w:val="single" w:sz="8" w:space="0" w:color="000000"/>
            </w:tcBorders>
            <w:shd w:val="clear" w:color="auto" w:fill="F1F1F1"/>
          </w:tcPr>
          <w:p w14:paraId="59638DC1" w14:textId="77777777" w:rsidR="00C216FC" w:rsidRPr="005976EC" w:rsidRDefault="00C216FC" w:rsidP="005D4764">
            <w:pPr>
              <w:pStyle w:val="TableParagraph"/>
              <w:spacing w:before="45"/>
              <w:jc w:val="center"/>
              <w:rPr>
                <w:rFonts w:ascii="Arial" w:hAnsi="Arial" w:cs="Arial"/>
                <w:b/>
                <w:color w:val="000000" w:themeColor="text1"/>
                <w:spacing w:val="-3"/>
                <w:w w:val="105"/>
                <w:sz w:val="16"/>
                <w:szCs w:val="16"/>
              </w:rPr>
            </w:pPr>
            <w:r w:rsidRPr="005976EC">
              <w:rPr>
                <w:rFonts w:ascii="Arial" w:hAnsi="Arial" w:cs="Arial"/>
                <w:b/>
                <w:color w:val="000000" w:themeColor="text1"/>
                <w:spacing w:val="-1"/>
                <w:w w:val="105"/>
                <w:sz w:val="16"/>
                <w:szCs w:val="16"/>
              </w:rPr>
              <w:t>Assumed</w:t>
            </w:r>
            <w:r w:rsidRPr="005976EC">
              <w:rPr>
                <w:rFonts w:ascii="Arial" w:hAnsi="Arial" w:cs="Arial"/>
                <w:b/>
                <w:color w:val="000000" w:themeColor="text1"/>
                <w:spacing w:val="-4"/>
                <w:w w:val="105"/>
                <w:sz w:val="16"/>
                <w:szCs w:val="16"/>
              </w:rPr>
              <w:t xml:space="preserve"> </w:t>
            </w:r>
            <w:r w:rsidRPr="005976EC">
              <w:rPr>
                <w:rFonts w:ascii="Arial" w:hAnsi="Arial" w:cs="Arial"/>
                <w:b/>
                <w:color w:val="000000" w:themeColor="text1"/>
                <w:spacing w:val="-1"/>
                <w:w w:val="105"/>
                <w:sz w:val="16"/>
                <w:szCs w:val="16"/>
              </w:rPr>
              <w:t>growth</w:t>
            </w:r>
            <w:r w:rsidRPr="005976EC">
              <w:rPr>
                <w:rFonts w:ascii="Arial" w:hAnsi="Arial" w:cs="Arial"/>
                <w:b/>
                <w:color w:val="000000" w:themeColor="text1"/>
                <w:spacing w:val="-5"/>
                <w:w w:val="105"/>
                <w:sz w:val="16"/>
                <w:szCs w:val="16"/>
              </w:rPr>
              <w:t xml:space="preserve"> </w:t>
            </w:r>
            <w:r w:rsidRPr="005976EC">
              <w:rPr>
                <w:rFonts w:ascii="Arial" w:hAnsi="Arial" w:cs="Arial"/>
                <w:b/>
                <w:color w:val="000000" w:themeColor="text1"/>
                <w:spacing w:val="-1"/>
                <w:w w:val="105"/>
                <w:sz w:val="16"/>
                <w:szCs w:val="16"/>
              </w:rPr>
              <w:t>rate</w:t>
            </w:r>
          </w:p>
          <w:p w14:paraId="5B41FD61" w14:textId="77777777" w:rsidR="00C216FC" w:rsidRPr="005976EC" w:rsidRDefault="00C216FC" w:rsidP="005D4764">
            <w:pPr>
              <w:pStyle w:val="TableParagraph"/>
              <w:spacing w:before="45"/>
              <w:jc w:val="center"/>
              <w:rPr>
                <w:rFonts w:ascii="Arial" w:hAnsi="Arial" w:cs="Arial"/>
                <w:b/>
                <w:color w:val="000000" w:themeColor="text1"/>
                <w:spacing w:val="-3"/>
                <w:w w:val="105"/>
                <w:sz w:val="16"/>
                <w:szCs w:val="16"/>
              </w:rPr>
            </w:pPr>
            <w:r w:rsidRPr="005976EC">
              <w:rPr>
                <w:rFonts w:ascii="Arial" w:hAnsi="Arial" w:cs="Arial"/>
                <w:b/>
                <w:color w:val="000000" w:themeColor="text1"/>
                <w:spacing w:val="-3"/>
                <w:w w:val="105"/>
                <w:sz w:val="16"/>
                <w:szCs w:val="16"/>
              </w:rPr>
              <w:t>before inflation</w:t>
            </w:r>
          </w:p>
          <w:p w14:paraId="0DA24B08" w14:textId="49F293F0" w:rsidR="00C216FC" w:rsidRPr="005976EC" w:rsidRDefault="00E82458" w:rsidP="005D4764">
            <w:pPr>
              <w:pStyle w:val="TableParagraph"/>
              <w:spacing w:before="45"/>
              <w:jc w:val="center"/>
              <w:rPr>
                <w:rFonts w:ascii="Arial" w:eastAsia="Source Sans Pro" w:hAnsi="Arial" w:cs="Arial"/>
                <w:color w:val="000000" w:themeColor="text1"/>
                <w:sz w:val="16"/>
                <w:szCs w:val="16"/>
              </w:rPr>
            </w:pPr>
            <w:r>
              <w:rPr>
                <w:rFonts w:ascii="Arial" w:hAnsi="Arial" w:cs="Arial"/>
                <w:b/>
                <w:color w:val="000000" w:themeColor="text1"/>
                <w:spacing w:val="-1"/>
                <w:w w:val="105"/>
                <w:sz w:val="16"/>
                <w:szCs w:val="16"/>
              </w:rPr>
              <w:t>3</w:t>
            </w:r>
            <w:r w:rsidR="00C216FC" w:rsidRPr="005976EC">
              <w:rPr>
                <w:rFonts w:ascii="Arial" w:hAnsi="Arial" w:cs="Arial"/>
                <w:b/>
                <w:color w:val="000000" w:themeColor="text1"/>
                <w:spacing w:val="-1"/>
                <w:w w:val="105"/>
                <w:sz w:val="16"/>
                <w:szCs w:val="16"/>
              </w:rPr>
              <w:t>.0% pa</w:t>
            </w:r>
          </w:p>
        </w:tc>
      </w:tr>
      <w:tr w:rsidR="00C216FC" w:rsidRPr="001427F1" w14:paraId="17E75DAF" w14:textId="77777777" w:rsidTr="00C216FC">
        <w:trPr>
          <w:trHeight w:hRule="exact" w:val="569"/>
        </w:trPr>
        <w:tc>
          <w:tcPr>
            <w:tcW w:w="936" w:type="dxa"/>
            <w:vMerge/>
            <w:tcBorders>
              <w:left w:val="single" w:sz="8" w:space="0" w:color="000000"/>
              <w:bottom w:val="single" w:sz="8" w:space="0" w:color="000000"/>
              <w:right w:val="single" w:sz="8" w:space="0" w:color="000000"/>
            </w:tcBorders>
            <w:shd w:val="clear" w:color="auto" w:fill="F2F2F2" w:themeFill="background1" w:themeFillShade="F2"/>
          </w:tcPr>
          <w:p w14:paraId="00812A93" w14:textId="77777777" w:rsidR="00C216FC" w:rsidRPr="001427F1" w:rsidRDefault="00C216FC" w:rsidP="005D4764">
            <w:pPr>
              <w:rPr>
                <w:rFonts w:ascii="Arial" w:hAnsi="Arial" w:cs="Arial"/>
                <w:color w:val="FF0000"/>
              </w:rPr>
            </w:pPr>
          </w:p>
        </w:tc>
        <w:tc>
          <w:tcPr>
            <w:tcW w:w="3073" w:type="dxa"/>
            <w:gridSpan w:val="2"/>
            <w:tcBorders>
              <w:top w:val="single" w:sz="8" w:space="0" w:color="000000"/>
              <w:left w:val="single" w:sz="8" w:space="0" w:color="000000"/>
              <w:bottom w:val="single" w:sz="8" w:space="0" w:color="000000"/>
              <w:right w:val="single" w:sz="8" w:space="0" w:color="000000"/>
            </w:tcBorders>
            <w:shd w:val="clear" w:color="auto" w:fill="F1F1F1"/>
          </w:tcPr>
          <w:p w14:paraId="764B07D1" w14:textId="77777777" w:rsidR="00C216FC" w:rsidRPr="00DD6016" w:rsidRDefault="00C216FC" w:rsidP="005D4764">
            <w:pPr>
              <w:pStyle w:val="TableParagraph"/>
              <w:spacing w:before="45"/>
              <w:jc w:val="center"/>
              <w:rPr>
                <w:rFonts w:ascii="Arial" w:eastAsia="Source Sans Pro" w:hAnsi="Arial" w:cs="Arial"/>
                <w:color w:val="000000" w:themeColor="text1"/>
                <w:sz w:val="16"/>
                <w:szCs w:val="16"/>
              </w:rPr>
            </w:pPr>
            <w:r w:rsidRPr="00DD6016">
              <w:rPr>
                <w:rFonts w:ascii="Arial" w:hAnsi="Arial" w:cs="Arial"/>
                <w:b/>
                <w:color w:val="000000" w:themeColor="text1"/>
                <w:spacing w:val="-1"/>
                <w:w w:val="105"/>
                <w:sz w:val="16"/>
                <w:szCs w:val="16"/>
              </w:rPr>
              <w:t>Assumed</w:t>
            </w:r>
            <w:r w:rsidRPr="00DD6016">
              <w:rPr>
                <w:rFonts w:ascii="Arial" w:hAnsi="Arial" w:cs="Arial"/>
                <w:b/>
                <w:color w:val="000000" w:themeColor="text1"/>
                <w:spacing w:val="-3"/>
                <w:w w:val="105"/>
                <w:sz w:val="16"/>
                <w:szCs w:val="16"/>
              </w:rPr>
              <w:t xml:space="preserve"> </w:t>
            </w:r>
            <w:r w:rsidRPr="00DD6016">
              <w:rPr>
                <w:rFonts w:ascii="Arial" w:hAnsi="Arial" w:cs="Arial"/>
                <w:b/>
                <w:color w:val="000000" w:themeColor="text1"/>
                <w:spacing w:val="-1"/>
                <w:w w:val="105"/>
                <w:sz w:val="16"/>
                <w:szCs w:val="16"/>
              </w:rPr>
              <w:t>costs</w:t>
            </w:r>
            <w:r w:rsidRPr="00DD6016">
              <w:rPr>
                <w:rFonts w:ascii="Arial" w:hAnsi="Arial" w:cs="Arial"/>
                <w:b/>
                <w:color w:val="000000" w:themeColor="text1"/>
                <w:spacing w:val="-3"/>
                <w:w w:val="105"/>
                <w:sz w:val="16"/>
                <w:szCs w:val="16"/>
              </w:rPr>
              <w:t xml:space="preserve"> </w:t>
            </w:r>
            <w:r w:rsidRPr="00DD6016">
              <w:rPr>
                <w:rFonts w:ascii="Arial" w:hAnsi="Arial" w:cs="Arial"/>
                <w:b/>
                <w:color w:val="000000" w:themeColor="text1"/>
                <w:spacing w:val="-1"/>
                <w:w w:val="105"/>
                <w:sz w:val="16"/>
                <w:szCs w:val="16"/>
              </w:rPr>
              <w:t>and</w:t>
            </w:r>
            <w:r w:rsidRPr="00DD6016">
              <w:rPr>
                <w:rFonts w:ascii="Arial" w:hAnsi="Arial" w:cs="Arial"/>
                <w:b/>
                <w:color w:val="000000" w:themeColor="text1"/>
                <w:spacing w:val="-2"/>
                <w:w w:val="105"/>
                <w:sz w:val="16"/>
                <w:szCs w:val="16"/>
              </w:rPr>
              <w:t xml:space="preserve"> </w:t>
            </w:r>
            <w:r w:rsidRPr="00DD6016">
              <w:rPr>
                <w:rFonts w:ascii="Arial" w:hAnsi="Arial" w:cs="Arial"/>
                <w:b/>
                <w:color w:val="000000" w:themeColor="text1"/>
                <w:spacing w:val="-1"/>
                <w:w w:val="105"/>
                <w:sz w:val="16"/>
                <w:szCs w:val="16"/>
              </w:rPr>
              <w:t>charges</w:t>
            </w:r>
            <w:r w:rsidRPr="00DD6016">
              <w:rPr>
                <w:rFonts w:ascii="Arial" w:hAnsi="Arial" w:cs="Arial"/>
                <w:b/>
                <w:color w:val="000000" w:themeColor="text1"/>
                <w:spacing w:val="18"/>
                <w:w w:val="105"/>
                <w:sz w:val="16"/>
                <w:szCs w:val="16"/>
              </w:rPr>
              <w:t xml:space="preserve"> </w:t>
            </w:r>
            <w:r w:rsidRPr="00DD6016">
              <w:rPr>
                <w:rFonts w:ascii="Arial" w:hAnsi="Arial" w:cs="Arial"/>
                <w:b/>
                <w:color w:val="000000" w:themeColor="text1"/>
                <w:spacing w:val="-1"/>
                <w:w w:val="105"/>
                <w:sz w:val="16"/>
                <w:szCs w:val="16"/>
              </w:rPr>
              <w:t>0.91% pa</w:t>
            </w:r>
          </w:p>
        </w:tc>
        <w:tc>
          <w:tcPr>
            <w:tcW w:w="3544" w:type="dxa"/>
            <w:gridSpan w:val="2"/>
            <w:tcBorders>
              <w:top w:val="single" w:sz="8" w:space="0" w:color="000000"/>
              <w:left w:val="single" w:sz="8" w:space="0" w:color="000000"/>
              <w:bottom w:val="single" w:sz="8" w:space="0" w:color="000000"/>
              <w:right w:val="single" w:sz="8" w:space="0" w:color="000000"/>
            </w:tcBorders>
            <w:shd w:val="clear" w:color="auto" w:fill="F1F1F1"/>
          </w:tcPr>
          <w:p w14:paraId="3777C288" w14:textId="5037D3ED" w:rsidR="00C216FC" w:rsidRPr="005976EC" w:rsidRDefault="00C216FC" w:rsidP="005D4764">
            <w:pPr>
              <w:pStyle w:val="TableParagraph"/>
              <w:spacing w:before="45"/>
              <w:jc w:val="center"/>
              <w:rPr>
                <w:rFonts w:ascii="Arial" w:eastAsia="Source Sans Pro" w:hAnsi="Arial" w:cs="Arial"/>
                <w:color w:val="000000" w:themeColor="text1"/>
                <w:sz w:val="16"/>
                <w:szCs w:val="16"/>
              </w:rPr>
            </w:pPr>
            <w:r w:rsidRPr="005976EC">
              <w:rPr>
                <w:rFonts w:ascii="Arial" w:hAnsi="Arial" w:cs="Arial"/>
                <w:b/>
                <w:color w:val="000000" w:themeColor="text1"/>
                <w:spacing w:val="-1"/>
                <w:w w:val="105"/>
                <w:sz w:val="16"/>
                <w:szCs w:val="16"/>
              </w:rPr>
              <w:t>Assumed</w:t>
            </w:r>
            <w:r w:rsidRPr="005976EC">
              <w:rPr>
                <w:rFonts w:ascii="Arial" w:hAnsi="Arial" w:cs="Arial"/>
                <w:b/>
                <w:color w:val="000000" w:themeColor="text1"/>
                <w:spacing w:val="-3"/>
                <w:w w:val="105"/>
                <w:sz w:val="16"/>
                <w:szCs w:val="16"/>
              </w:rPr>
              <w:t xml:space="preserve"> </w:t>
            </w:r>
            <w:r w:rsidRPr="005976EC">
              <w:rPr>
                <w:rFonts w:ascii="Arial" w:hAnsi="Arial" w:cs="Arial"/>
                <w:b/>
                <w:color w:val="000000" w:themeColor="text1"/>
                <w:spacing w:val="-1"/>
                <w:w w:val="105"/>
                <w:sz w:val="16"/>
                <w:szCs w:val="16"/>
              </w:rPr>
              <w:t>costs</w:t>
            </w:r>
            <w:r w:rsidRPr="005976EC">
              <w:rPr>
                <w:rFonts w:ascii="Arial" w:hAnsi="Arial" w:cs="Arial"/>
                <w:b/>
                <w:color w:val="000000" w:themeColor="text1"/>
                <w:spacing w:val="-3"/>
                <w:w w:val="105"/>
                <w:sz w:val="16"/>
                <w:szCs w:val="16"/>
              </w:rPr>
              <w:t xml:space="preserve"> </w:t>
            </w:r>
            <w:r w:rsidRPr="005976EC">
              <w:rPr>
                <w:rFonts w:ascii="Arial" w:hAnsi="Arial" w:cs="Arial"/>
                <w:b/>
                <w:color w:val="000000" w:themeColor="text1"/>
                <w:spacing w:val="-1"/>
                <w:w w:val="105"/>
                <w:sz w:val="16"/>
                <w:szCs w:val="16"/>
              </w:rPr>
              <w:t>and</w:t>
            </w:r>
            <w:r w:rsidRPr="005976EC">
              <w:rPr>
                <w:rFonts w:ascii="Arial" w:hAnsi="Arial" w:cs="Arial"/>
                <w:b/>
                <w:color w:val="000000" w:themeColor="text1"/>
                <w:spacing w:val="-2"/>
                <w:w w:val="105"/>
                <w:sz w:val="16"/>
                <w:szCs w:val="16"/>
              </w:rPr>
              <w:t xml:space="preserve"> </w:t>
            </w:r>
            <w:r w:rsidRPr="005976EC">
              <w:rPr>
                <w:rFonts w:ascii="Arial" w:hAnsi="Arial" w:cs="Arial"/>
                <w:b/>
                <w:color w:val="000000" w:themeColor="text1"/>
                <w:spacing w:val="-1"/>
                <w:w w:val="105"/>
                <w:sz w:val="16"/>
                <w:szCs w:val="16"/>
              </w:rPr>
              <w:t>charges</w:t>
            </w:r>
            <w:r w:rsidRPr="005976EC">
              <w:rPr>
                <w:rFonts w:ascii="Arial" w:hAnsi="Arial" w:cs="Arial"/>
                <w:b/>
                <w:color w:val="000000" w:themeColor="text1"/>
                <w:spacing w:val="18"/>
                <w:w w:val="105"/>
                <w:sz w:val="16"/>
                <w:szCs w:val="16"/>
              </w:rPr>
              <w:t xml:space="preserve"> </w:t>
            </w:r>
            <w:r w:rsidRPr="005976EC">
              <w:rPr>
                <w:rFonts w:ascii="Arial" w:hAnsi="Arial" w:cs="Arial"/>
                <w:b/>
                <w:color w:val="000000" w:themeColor="text1"/>
                <w:spacing w:val="-1"/>
                <w:w w:val="105"/>
                <w:sz w:val="16"/>
                <w:szCs w:val="16"/>
              </w:rPr>
              <w:t>0.</w:t>
            </w:r>
            <w:r w:rsidR="00E82458">
              <w:rPr>
                <w:rFonts w:ascii="Arial" w:hAnsi="Arial" w:cs="Arial"/>
                <w:b/>
                <w:color w:val="000000" w:themeColor="text1"/>
                <w:spacing w:val="-1"/>
                <w:w w:val="105"/>
                <w:sz w:val="16"/>
                <w:szCs w:val="16"/>
              </w:rPr>
              <w:t>88</w:t>
            </w:r>
            <w:r w:rsidRPr="005976EC">
              <w:rPr>
                <w:rFonts w:ascii="Arial" w:hAnsi="Arial" w:cs="Arial"/>
                <w:b/>
                <w:color w:val="000000" w:themeColor="text1"/>
                <w:spacing w:val="-1"/>
                <w:w w:val="105"/>
                <w:sz w:val="16"/>
                <w:szCs w:val="16"/>
              </w:rPr>
              <w:t>% pa</w:t>
            </w:r>
          </w:p>
        </w:tc>
      </w:tr>
      <w:tr w:rsidR="00C216FC" w:rsidRPr="001427F1" w14:paraId="2CF86F96" w14:textId="77777777" w:rsidTr="00C216FC">
        <w:trPr>
          <w:trHeight w:hRule="exact" w:val="1701"/>
        </w:trPr>
        <w:tc>
          <w:tcPr>
            <w:tcW w:w="936" w:type="dxa"/>
            <w:tcBorders>
              <w:top w:val="single" w:sz="8" w:space="0" w:color="000000"/>
              <w:left w:val="single" w:sz="8" w:space="0" w:color="000000"/>
              <w:bottom w:val="single" w:sz="8" w:space="0" w:color="000000"/>
              <w:right w:val="single" w:sz="8" w:space="0" w:color="000000"/>
            </w:tcBorders>
            <w:vAlign w:val="center"/>
          </w:tcPr>
          <w:p w14:paraId="2201D06D" w14:textId="77777777" w:rsidR="00C216FC" w:rsidRPr="00DD6016" w:rsidRDefault="00C216FC" w:rsidP="005D4764">
            <w:pPr>
              <w:pStyle w:val="TableParagraph"/>
              <w:jc w:val="center"/>
              <w:rPr>
                <w:rFonts w:ascii="Arial" w:eastAsia="Source Sans Pro" w:hAnsi="Arial" w:cs="Arial"/>
                <w:color w:val="000000" w:themeColor="text1"/>
                <w:sz w:val="16"/>
                <w:szCs w:val="16"/>
              </w:rPr>
            </w:pPr>
            <w:r w:rsidRPr="00DD6016">
              <w:rPr>
                <w:rFonts w:ascii="Arial" w:hAnsi="Arial" w:cs="Arial"/>
                <w:b/>
                <w:color w:val="000000" w:themeColor="text1"/>
                <w:w w:val="105"/>
                <w:sz w:val="16"/>
                <w:szCs w:val="16"/>
              </w:rPr>
              <w:t>At</w:t>
            </w:r>
            <w:r w:rsidRPr="00DD6016">
              <w:rPr>
                <w:rFonts w:ascii="Arial" w:hAnsi="Arial" w:cs="Arial"/>
                <w:b/>
                <w:color w:val="000000" w:themeColor="text1"/>
                <w:spacing w:val="-4"/>
                <w:w w:val="105"/>
                <w:sz w:val="16"/>
                <w:szCs w:val="16"/>
              </w:rPr>
              <w:t xml:space="preserve"> </w:t>
            </w:r>
            <w:r w:rsidRPr="00DD6016">
              <w:rPr>
                <w:rFonts w:ascii="Arial" w:hAnsi="Arial" w:cs="Arial"/>
                <w:b/>
                <w:color w:val="000000" w:themeColor="text1"/>
                <w:spacing w:val="-1"/>
                <w:w w:val="105"/>
                <w:sz w:val="16"/>
                <w:szCs w:val="16"/>
              </w:rPr>
              <w:t xml:space="preserve">end </w:t>
            </w:r>
            <w:r w:rsidRPr="00DD6016">
              <w:rPr>
                <w:rFonts w:ascii="Arial" w:hAnsi="Arial" w:cs="Arial"/>
                <w:b/>
                <w:color w:val="000000" w:themeColor="text1"/>
                <w:w w:val="105"/>
                <w:sz w:val="16"/>
                <w:szCs w:val="16"/>
              </w:rPr>
              <w:t>of</w:t>
            </w:r>
            <w:r w:rsidRPr="00DD6016">
              <w:rPr>
                <w:rFonts w:ascii="Arial" w:hAnsi="Arial" w:cs="Arial"/>
                <w:b/>
                <w:color w:val="000000" w:themeColor="text1"/>
                <w:spacing w:val="-3"/>
                <w:w w:val="105"/>
                <w:sz w:val="16"/>
                <w:szCs w:val="16"/>
              </w:rPr>
              <w:t xml:space="preserve"> </w:t>
            </w:r>
            <w:r w:rsidRPr="00DD6016">
              <w:rPr>
                <w:rFonts w:ascii="Arial" w:hAnsi="Arial" w:cs="Arial"/>
                <w:b/>
                <w:color w:val="000000" w:themeColor="text1"/>
                <w:spacing w:val="-1"/>
                <w:w w:val="105"/>
                <w:sz w:val="16"/>
                <w:szCs w:val="16"/>
              </w:rPr>
              <w:t>year</w:t>
            </w:r>
          </w:p>
        </w:tc>
        <w:tc>
          <w:tcPr>
            <w:tcW w:w="1339" w:type="dxa"/>
            <w:tcBorders>
              <w:top w:val="single" w:sz="8" w:space="0" w:color="000000"/>
              <w:left w:val="single" w:sz="8" w:space="0" w:color="000000"/>
              <w:bottom w:val="single" w:sz="8" w:space="0" w:color="000000"/>
              <w:right w:val="single" w:sz="8" w:space="0" w:color="000000"/>
            </w:tcBorders>
          </w:tcPr>
          <w:p w14:paraId="3AA5B4DF" w14:textId="77777777" w:rsidR="00C216FC" w:rsidRPr="00DD6016" w:rsidRDefault="00C216FC" w:rsidP="005D4764">
            <w:pPr>
              <w:pStyle w:val="TableParagraph"/>
              <w:spacing w:before="76" w:line="287" w:lineRule="auto"/>
              <w:ind w:left="61" w:right="55"/>
              <w:jc w:val="center"/>
              <w:rPr>
                <w:rFonts w:ascii="Arial" w:eastAsia="Source Sans Pro" w:hAnsi="Arial" w:cs="Arial"/>
                <w:color w:val="000000" w:themeColor="text1"/>
                <w:sz w:val="16"/>
                <w:szCs w:val="16"/>
              </w:rPr>
            </w:pPr>
            <w:r w:rsidRPr="00DD6016">
              <w:rPr>
                <w:rFonts w:ascii="Arial" w:hAnsi="Arial" w:cs="Arial"/>
                <w:b/>
                <w:color w:val="000000" w:themeColor="text1"/>
                <w:spacing w:val="-1"/>
                <w:w w:val="105"/>
                <w:sz w:val="16"/>
                <w:szCs w:val="16"/>
              </w:rPr>
              <w:t>Projected</w:t>
            </w:r>
            <w:r w:rsidRPr="00DD6016">
              <w:rPr>
                <w:rFonts w:ascii="Arial" w:hAnsi="Arial" w:cs="Arial"/>
                <w:b/>
                <w:color w:val="000000" w:themeColor="text1"/>
                <w:spacing w:val="-6"/>
                <w:w w:val="105"/>
                <w:sz w:val="16"/>
                <w:szCs w:val="16"/>
              </w:rPr>
              <w:t xml:space="preserve"> </w:t>
            </w:r>
            <w:r w:rsidRPr="00DD6016">
              <w:rPr>
                <w:rFonts w:ascii="Arial" w:hAnsi="Arial" w:cs="Arial"/>
                <w:b/>
                <w:color w:val="000000" w:themeColor="text1"/>
                <w:spacing w:val="-1"/>
                <w:w w:val="105"/>
                <w:sz w:val="16"/>
                <w:szCs w:val="16"/>
              </w:rPr>
              <w:t>value</w:t>
            </w:r>
            <w:r w:rsidRPr="00DD6016">
              <w:rPr>
                <w:rFonts w:ascii="Arial" w:hAnsi="Arial" w:cs="Arial"/>
                <w:b/>
                <w:color w:val="000000" w:themeColor="text1"/>
                <w:spacing w:val="29"/>
                <w:w w:val="104"/>
                <w:sz w:val="16"/>
                <w:szCs w:val="16"/>
              </w:rPr>
              <w:t xml:space="preserve"> in today’s money </w:t>
            </w:r>
            <w:r w:rsidRPr="00DD6016">
              <w:rPr>
                <w:rFonts w:ascii="Arial" w:hAnsi="Arial" w:cs="Arial"/>
                <w:b/>
                <w:color w:val="000000" w:themeColor="text1"/>
                <w:spacing w:val="-1"/>
                <w:w w:val="105"/>
                <w:sz w:val="16"/>
                <w:szCs w:val="16"/>
              </w:rPr>
              <w:t>assuming</w:t>
            </w:r>
            <w:r w:rsidRPr="00DD6016">
              <w:rPr>
                <w:rFonts w:ascii="Arial" w:hAnsi="Arial" w:cs="Arial"/>
                <w:b/>
                <w:color w:val="000000" w:themeColor="text1"/>
                <w:spacing w:val="-5"/>
                <w:w w:val="105"/>
                <w:sz w:val="16"/>
                <w:szCs w:val="16"/>
              </w:rPr>
              <w:t xml:space="preserve"> </w:t>
            </w:r>
            <w:r w:rsidRPr="00DD6016">
              <w:rPr>
                <w:rFonts w:ascii="Arial" w:hAnsi="Arial" w:cs="Arial"/>
                <w:b/>
                <w:color w:val="000000" w:themeColor="text1"/>
                <w:spacing w:val="-1"/>
                <w:w w:val="105"/>
                <w:sz w:val="16"/>
                <w:szCs w:val="16"/>
              </w:rPr>
              <w:t>no</w:t>
            </w:r>
            <w:r w:rsidRPr="00DD6016">
              <w:rPr>
                <w:rFonts w:ascii="Arial" w:hAnsi="Arial" w:cs="Arial"/>
                <w:b/>
                <w:color w:val="000000" w:themeColor="text1"/>
                <w:spacing w:val="22"/>
                <w:w w:val="104"/>
                <w:sz w:val="16"/>
                <w:szCs w:val="16"/>
              </w:rPr>
              <w:t xml:space="preserve"> </w:t>
            </w:r>
            <w:r w:rsidRPr="00DD6016">
              <w:rPr>
                <w:rFonts w:ascii="Arial" w:hAnsi="Arial" w:cs="Arial"/>
                <w:b/>
                <w:color w:val="000000" w:themeColor="text1"/>
                <w:spacing w:val="-1"/>
                <w:w w:val="105"/>
                <w:sz w:val="16"/>
                <w:szCs w:val="16"/>
              </w:rPr>
              <w:t>charges</w:t>
            </w:r>
            <w:r w:rsidRPr="00DD6016">
              <w:rPr>
                <w:rFonts w:ascii="Arial" w:hAnsi="Arial" w:cs="Arial"/>
                <w:b/>
                <w:color w:val="000000" w:themeColor="text1"/>
                <w:spacing w:val="-6"/>
                <w:w w:val="105"/>
                <w:sz w:val="16"/>
                <w:szCs w:val="16"/>
              </w:rPr>
              <w:t xml:space="preserve"> </w:t>
            </w:r>
            <w:r w:rsidRPr="00DD6016">
              <w:rPr>
                <w:rFonts w:ascii="Arial" w:hAnsi="Arial" w:cs="Arial"/>
                <w:b/>
                <w:color w:val="000000" w:themeColor="text1"/>
                <w:spacing w:val="-1"/>
                <w:w w:val="105"/>
                <w:sz w:val="16"/>
                <w:szCs w:val="16"/>
              </w:rPr>
              <w:t>are</w:t>
            </w:r>
            <w:r w:rsidRPr="00DD6016">
              <w:rPr>
                <w:rFonts w:ascii="Arial" w:hAnsi="Arial" w:cs="Arial"/>
                <w:b/>
                <w:color w:val="000000" w:themeColor="text1"/>
                <w:spacing w:val="25"/>
                <w:w w:val="104"/>
                <w:sz w:val="16"/>
                <w:szCs w:val="16"/>
              </w:rPr>
              <w:t xml:space="preserve"> </w:t>
            </w:r>
            <w:r w:rsidRPr="00DD6016">
              <w:rPr>
                <w:rFonts w:ascii="Arial" w:hAnsi="Arial" w:cs="Arial"/>
                <w:b/>
                <w:color w:val="000000" w:themeColor="text1"/>
                <w:spacing w:val="-1"/>
                <w:w w:val="105"/>
                <w:sz w:val="16"/>
                <w:szCs w:val="16"/>
              </w:rPr>
              <w:t>taken</w:t>
            </w:r>
          </w:p>
        </w:tc>
        <w:tc>
          <w:tcPr>
            <w:tcW w:w="1734" w:type="dxa"/>
            <w:tcBorders>
              <w:top w:val="single" w:sz="8" w:space="0" w:color="000000"/>
              <w:left w:val="single" w:sz="8" w:space="0" w:color="000000"/>
              <w:bottom w:val="single" w:sz="8" w:space="0" w:color="000000"/>
              <w:right w:val="single" w:sz="8" w:space="0" w:color="000000"/>
            </w:tcBorders>
          </w:tcPr>
          <w:p w14:paraId="0218AF99" w14:textId="77777777" w:rsidR="00C216FC" w:rsidRPr="00DD6016" w:rsidRDefault="00C216FC" w:rsidP="005D4764">
            <w:pPr>
              <w:pStyle w:val="TableParagraph"/>
              <w:spacing w:before="76" w:line="287" w:lineRule="auto"/>
              <w:ind w:left="61" w:right="55"/>
              <w:jc w:val="center"/>
              <w:rPr>
                <w:rFonts w:ascii="Arial" w:eastAsia="Source Sans Pro" w:hAnsi="Arial" w:cs="Arial"/>
                <w:color w:val="000000" w:themeColor="text1"/>
                <w:sz w:val="16"/>
                <w:szCs w:val="16"/>
              </w:rPr>
            </w:pPr>
            <w:r w:rsidRPr="00DD6016">
              <w:rPr>
                <w:rFonts w:ascii="Arial" w:hAnsi="Arial" w:cs="Arial"/>
                <w:b/>
                <w:color w:val="000000" w:themeColor="text1"/>
                <w:spacing w:val="-1"/>
                <w:w w:val="105"/>
                <w:sz w:val="16"/>
                <w:szCs w:val="16"/>
              </w:rPr>
              <w:t>Projected</w:t>
            </w:r>
            <w:r w:rsidRPr="00DD6016">
              <w:rPr>
                <w:rFonts w:ascii="Arial" w:hAnsi="Arial" w:cs="Arial"/>
                <w:b/>
                <w:color w:val="000000" w:themeColor="text1"/>
                <w:spacing w:val="-6"/>
                <w:w w:val="105"/>
                <w:sz w:val="16"/>
                <w:szCs w:val="16"/>
              </w:rPr>
              <w:t xml:space="preserve"> </w:t>
            </w:r>
            <w:r w:rsidRPr="00DD6016">
              <w:rPr>
                <w:rFonts w:ascii="Arial" w:hAnsi="Arial" w:cs="Arial"/>
                <w:b/>
                <w:color w:val="000000" w:themeColor="text1"/>
                <w:spacing w:val="-1"/>
                <w:w w:val="105"/>
                <w:sz w:val="16"/>
                <w:szCs w:val="16"/>
              </w:rPr>
              <w:t>value</w:t>
            </w:r>
            <w:r w:rsidRPr="00DD6016">
              <w:rPr>
                <w:rFonts w:ascii="Arial" w:hAnsi="Arial" w:cs="Arial"/>
                <w:b/>
                <w:color w:val="000000" w:themeColor="text1"/>
                <w:spacing w:val="29"/>
                <w:w w:val="104"/>
                <w:sz w:val="16"/>
                <w:szCs w:val="16"/>
              </w:rPr>
              <w:t xml:space="preserve"> in today’s money </w:t>
            </w:r>
            <w:r w:rsidRPr="00DD6016">
              <w:rPr>
                <w:rFonts w:ascii="Arial" w:hAnsi="Arial" w:cs="Arial"/>
                <w:b/>
                <w:color w:val="000000" w:themeColor="text1"/>
                <w:spacing w:val="-1"/>
                <w:w w:val="105"/>
                <w:sz w:val="16"/>
                <w:szCs w:val="16"/>
              </w:rPr>
              <w:t>after</w:t>
            </w:r>
            <w:r w:rsidRPr="00DD6016">
              <w:rPr>
                <w:rFonts w:ascii="Arial" w:hAnsi="Arial" w:cs="Arial"/>
                <w:b/>
                <w:color w:val="000000" w:themeColor="text1"/>
                <w:spacing w:val="-4"/>
                <w:w w:val="105"/>
                <w:sz w:val="16"/>
                <w:szCs w:val="16"/>
              </w:rPr>
              <w:t xml:space="preserve"> </w:t>
            </w:r>
            <w:r w:rsidRPr="00DD6016">
              <w:rPr>
                <w:rFonts w:ascii="Arial" w:hAnsi="Arial" w:cs="Arial"/>
                <w:b/>
                <w:color w:val="000000" w:themeColor="text1"/>
                <w:spacing w:val="-1"/>
                <w:w w:val="105"/>
                <w:sz w:val="16"/>
                <w:szCs w:val="16"/>
              </w:rPr>
              <w:t>costs</w:t>
            </w:r>
            <w:r w:rsidRPr="00DD6016">
              <w:rPr>
                <w:rFonts w:ascii="Arial" w:hAnsi="Arial" w:cs="Arial"/>
                <w:b/>
                <w:color w:val="000000" w:themeColor="text1"/>
                <w:spacing w:val="-3"/>
                <w:w w:val="105"/>
                <w:sz w:val="16"/>
                <w:szCs w:val="16"/>
              </w:rPr>
              <w:t xml:space="preserve"> </w:t>
            </w:r>
            <w:r w:rsidRPr="00DD6016">
              <w:rPr>
                <w:rFonts w:ascii="Arial" w:hAnsi="Arial" w:cs="Arial"/>
                <w:b/>
                <w:color w:val="000000" w:themeColor="text1"/>
                <w:spacing w:val="-1"/>
                <w:w w:val="105"/>
                <w:sz w:val="16"/>
                <w:szCs w:val="16"/>
              </w:rPr>
              <w:t>and</w:t>
            </w:r>
            <w:r w:rsidRPr="00DD6016">
              <w:rPr>
                <w:rFonts w:ascii="Arial" w:hAnsi="Arial" w:cs="Arial"/>
                <w:b/>
                <w:color w:val="000000" w:themeColor="text1"/>
                <w:spacing w:val="24"/>
                <w:w w:val="104"/>
                <w:sz w:val="16"/>
                <w:szCs w:val="16"/>
              </w:rPr>
              <w:t xml:space="preserve"> </w:t>
            </w:r>
            <w:r w:rsidRPr="00DD6016">
              <w:rPr>
                <w:rFonts w:ascii="Arial" w:hAnsi="Arial" w:cs="Arial"/>
                <w:b/>
                <w:color w:val="000000" w:themeColor="text1"/>
                <w:spacing w:val="-1"/>
                <w:w w:val="105"/>
                <w:sz w:val="16"/>
                <w:szCs w:val="16"/>
              </w:rPr>
              <w:t>charges</w:t>
            </w:r>
            <w:r w:rsidRPr="00DD6016">
              <w:rPr>
                <w:rFonts w:ascii="Arial" w:hAnsi="Arial" w:cs="Arial"/>
                <w:b/>
                <w:color w:val="000000" w:themeColor="text1"/>
                <w:spacing w:val="-6"/>
                <w:w w:val="105"/>
                <w:sz w:val="16"/>
                <w:szCs w:val="16"/>
              </w:rPr>
              <w:t xml:space="preserve"> </w:t>
            </w:r>
            <w:r w:rsidRPr="00DD6016">
              <w:rPr>
                <w:rFonts w:ascii="Arial" w:hAnsi="Arial" w:cs="Arial"/>
                <w:b/>
                <w:color w:val="000000" w:themeColor="text1"/>
                <w:spacing w:val="-1"/>
                <w:w w:val="105"/>
                <w:sz w:val="16"/>
                <w:szCs w:val="16"/>
              </w:rPr>
              <w:t>are</w:t>
            </w:r>
            <w:r w:rsidRPr="00DD6016">
              <w:rPr>
                <w:rFonts w:ascii="Arial" w:hAnsi="Arial" w:cs="Arial"/>
                <w:b/>
                <w:color w:val="000000" w:themeColor="text1"/>
                <w:spacing w:val="25"/>
                <w:w w:val="104"/>
                <w:sz w:val="16"/>
                <w:szCs w:val="16"/>
              </w:rPr>
              <w:t xml:space="preserve"> </w:t>
            </w:r>
            <w:r w:rsidRPr="00DD6016">
              <w:rPr>
                <w:rFonts w:ascii="Arial" w:hAnsi="Arial" w:cs="Arial"/>
                <w:b/>
                <w:color w:val="000000" w:themeColor="text1"/>
                <w:spacing w:val="-1"/>
                <w:w w:val="105"/>
                <w:sz w:val="16"/>
                <w:szCs w:val="16"/>
              </w:rPr>
              <w:t>taken</w:t>
            </w:r>
          </w:p>
        </w:tc>
        <w:tc>
          <w:tcPr>
            <w:tcW w:w="1843" w:type="dxa"/>
            <w:tcBorders>
              <w:top w:val="single" w:sz="8" w:space="0" w:color="000000"/>
              <w:left w:val="single" w:sz="8" w:space="0" w:color="000000"/>
              <w:bottom w:val="single" w:sz="8" w:space="0" w:color="000000"/>
              <w:right w:val="single" w:sz="8" w:space="0" w:color="000000"/>
            </w:tcBorders>
          </w:tcPr>
          <w:p w14:paraId="0815393B" w14:textId="77777777" w:rsidR="00C216FC" w:rsidRPr="005976EC" w:rsidRDefault="00C216FC" w:rsidP="005D4764">
            <w:pPr>
              <w:pStyle w:val="TableParagraph"/>
              <w:spacing w:before="76" w:line="287" w:lineRule="auto"/>
              <w:ind w:left="61" w:right="56"/>
              <w:jc w:val="center"/>
              <w:rPr>
                <w:rFonts w:ascii="Arial" w:eastAsia="Source Sans Pro" w:hAnsi="Arial" w:cs="Arial"/>
                <w:color w:val="000000" w:themeColor="text1"/>
                <w:sz w:val="16"/>
                <w:szCs w:val="16"/>
              </w:rPr>
            </w:pPr>
            <w:r w:rsidRPr="005976EC">
              <w:rPr>
                <w:rFonts w:ascii="Arial" w:hAnsi="Arial" w:cs="Arial"/>
                <w:b/>
                <w:color w:val="000000" w:themeColor="text1"/>
                <w:spacing w:val="-1"/>
                <w:w w:val="105"/>
                <w:sz w:val="16"/>
                <w:szCs w:val="16"/>
              </w:rPr>
              <w:t>Projected</w:t>
            </w:r>
            <w:r w:rsidRPr="005976EC">
              <w:rPr>
                <w:rFonts w:ascii="Arial" w:hAnsi="Arial" w:cs="Arial"/>
                <w:b/>
                <w:color w:val="000000" w:themeColor="text1"/>
                <w:spacing w:val="-6"/>
                <w:w w:val="105"/>
                <w:sz w:val="16"/>
                <w:szCs w:val="16"/>
              </w:rPr>
              <w:t xml:space="preserve"> </w:t>
            </w:r>
            <w:r w:rsidRPr="005976EC">
              <w:rPr>
                <w:rFonts w:ascii="Arial" w:hAnsi="Arial" w:cs="Arial"/>
                <w:b/>
                <w:color w:val="000000" w:themeColor="text1"/>
                <w:spacing w:val="-1"/>
                <w:w w:val="105"/>
                <w:sz w:val="16"/>
                <w:szCs w:val="16"/>
              </w:rPr>
              <w:t>value</w:t>
            </w:r>
            <w:r w:rsidRPr="005976EC">
              <w:rPr>
                <w:rFonts w:ascii="Arial" w:hAnsi="Arial" w:cs="Arial"/>
                <w:b/>
                <w:color w:val="000000" w:themeColor="text1"/>
                <w:spacing w:val="29"/>
                <w:w w:val="104"/>
                <w:sz w:val="16"/>
                <w:szCs w:val="16"/>
              </w:rPr>
              <w:t xml:space="preserve"> in today’s money </w:t>
            </w:r>
            <w:r w:rsidRPr="005976EC">
              <w:rPr>
                <w:rFonts w:ascii="Arial" w:hAnsi="Arial" w:cs="Arial"/>
                <w:b/>
                <w:color w:val="000000" w:themeColor="text1"/>
                <w:spacing w:val="-1"/>
                <w:w w:val="105"/>
                <w:sz w:val="16"/>
                <w:szCs w:val="16"/>
              </w:rPr>
              <w:t>assuming</w:t>
            </w:r>
            <w:r w:rsidRPr="005976EC">
              <w:rPr>
                <w:rFonts w:ascii="Arial" w:hAnsi="Arial" w:cs="Arial"/>
                <w:b/>
                <w:color w:val="000000" w:themeColor="text1"/>
                <w:spacing w:val="-5"/>
                <w:w w:val="105"/>
                <w:sz w:val="16"/>
                <w:szCs w:val="16"/>
              </w:rPr>
              <w:t xml:space="preserve"> </w:t>
            </w:r>
            <w:r w:rsidRPr="005976EC">
              <w:rPr>
                <w:rFonts w:ascii="Arial" w:hAnsi="Arial" w:cs="Arial"/>
                <w:b/>
                <w:color w:val="000000" w:themeColor="text1"/>
                <w:spacing w:val="-1"/>
                <w:w w:val="105"/>
                <w:sz w:val="16"/>
                <w:szCs w:val="16"/>
              </w:rPr>
              <w:t>no</w:t>
            </w:r>
            <w:r w:rsidRPr="005976EC">
              <w:rPr>
                <w:rFonts w:ascii="Arial" w:hAnsi="Arial" w:cs="Arial"/>
                <w:b/>
                <w:color w:val="000000" w:themeColor="text1"/>
                <w:spacing w:val="22"/>
                <w:w w:val="104"/>
                <w:sz w:val="16"/>
                <w:szCs w:val="16"/>
              </w:rPr>
              <w:t xml:space="preserve"> </w:t>
            </w:r>
            <w:r w:rsidRPr="005976EC">
              <w:rPr>
                <w:rFonts w:ascii="Arial" w:hAnsi="Arial" w:cs="Arial"/>
                <w:b/>
                <w:color w:val="000000" w:themeColor="text1"/>
                <w:spacing w:val="-1"/>
                <w:w w:val="105"/>
                <w:sz w:val="16"/>
                <w:szCs w:val="16"/>
              </w:rPr>
              <w:t>charges</w:t>
            </w:r>
            <w:r w:rsidRPr="005976EC">
              <w:rPr>
                <w:rFonts w:ascii="Arial" w:hAnsi="Arial" w:cs="Arial"/>
                <w:b/>
                <w:color w:val="000000" w:themeColor="text1"/>
                <w:spacing w:val="-6"/>
                <w:w w:val="105"/>
                <w:sz w:val="16"/>
                <w:szCs w:val="16"/>
              </w:rPr>
              <w:t xml:space="preserve"> </w:t>
            </w:r>
            <w:r w:rsidRPr="005976EC">
              <w:rPr>
                <w:rFonts w:ascii="Arial" w:hAnsi="Arial" w:cs="Arial"/>
                <w:b/>
                <w:color w:val="000000" w:themeColor="text1"/>
                <w:spacing w:val="-1"/>
                <w:w w:val="105"/>
                <w:sz w:val="16"/>
                <w:szCs w:val="16"/>
              </w:rPr>
              <w:t>are</w:t>
            </w:r>
            <w:r w:rsidRPr="005976EC">
              <w:rPr>
                <w:rFonts w:ascii="Arial" w:hAnsi="Arial" w:cs="Arial"/>
                <w:b/>
                <w:color w:val="000000" w:themeColor="text1"/>
                <w:spacing w:val="25"/>
                <w:w w:val="104"/>
                <w:sz w:val="16"/>
                <w:szCs w:val="16"/>
              </w:rPr>
              <w:t xml:space="preserve"> </w:t>
            </w:r>
            <w:r w:rsidRPr="005976EC">
              <w:rPr>
                <w:rFonts w:ascii="Arial" w:hAnsi="Arial" w:cs="Arial"/>
                <w:b/>
                <w:color w:val="000000" w:themeColor="text1"/>
                <w:spacing w:val="-1"/>
                <w:w w:val="105"/>
                <w:sz w:val="16"/>
                <w:szCs w:val="16"/>
              </w:rPr>
              <w:t>taken</w:t>
            </w:r>
          </w:p>
        </w:tc>
        <w:tc>
          <w:tcPr>
            <w:tcW w:w="1701" w:type="dxa"/>
            <w:tcBorders>
              <w:top w:val="single" w:sz="8" w:space="0" w:color="000000"/>
              <w:left w:val="single" w:sz="8" w:space="0" w:color="000000"/>
              <w:bottom w:val="single" w:sz="8" w:space="0" w:color="000000"/>
              <w:right w:val="single" w:sz="8" w:space="0" w:color="000000"/>
            </w:tcBorders>
          </w:tcPr>
          <w:p w14:paraId="31414C33" w14:textId="77777777" w:rsidR="00C216FC" w:rsidRPr="005976EC" w:rsidRDefault="00C216FC" w:rsidP="005D4764">
            <w:pPr>
              <w:pStyle w:val="TableParagraph"/>
              <w:spacing w:before="76" w:line="287" w:lineRule="auto"/>
              <w:ind w:left="61" w:right="55"/>
              <w:jc w:val="center"/>
              <w:rPr>
                <w:rFonts w:ascii="Arial" w:eastAsia="Source Sans Pro" w:hAnsi="Arial" w:cs="Arial"/>
                <w:color w:val="000000" w:themeColor="text1"/>
                <w:sz w:val="16"/>
                <w:szCs w:val="16"/>
              </w:rPr>
            </w:pPr>
            <w:r w:rsidRPr="005976EC">
              <w:rPr>
                <w:rFonts w:ascii="Arial" w:hAnsi="Arial" w:cs="Arial"/>
                <w:b/>
                <w:color w:val="000000" w:themeColor="text1"/>
                <w:spacing w:val="-1"/>
                <w:w w:val="105"/>
                <w:sz w:val="16"/>
                <w:szCs w:val="16"/>
              </w:rPr>
              <w:t>Projected</w:t>
            </w:r>
            <w:r w:rsidRPr="005976EC">
              <w:rPr>
                <w:rFonts w:ascii="Arial" w:hAnsi="Arial" w:cs="Arial"/>
                <w:b/>
                <w:color w:val="000000" w:themeColor="text1"/>
                <w:spacing w:val="-6"/>
                <w:w w:val="105"/>
                <w:sz w:val="16"/>
                <w:szCs w:val="16"/>
              </w:rPr>
              <w:t xml:space="preserve"> </w:t>
            </w:r>
            <w:r w:rsidRPr="005976EC">
              <w:rPr>
                <w:rFonts w:ascii="Arial" w:hAnsi="Arial" w:cs="Arial"/>
                <w:b/>
                <w:color w:val="000000" w:themeColor="text1"/>
                <w:spacing w:val="-1"/>
                <w:w w:val="105"/>
                <w:sz w:val="16"/>
                <w:szCs w:val="16"/>
              </w:rPr>
              <w:t>value</w:t>
            </w:r>
            <w:r w:rsidRPr="005976EC">
              <w:rPr>
                <w:rFonts w:ascii="Arial" w:hAnsi="Arial" w:cs="Arial"/>
                <w:b/>
                <w:color w:val="000000" w:themeColor="text1"/>
                <w:spacing w:val="29"/>
                <w:w w:val="104"/>
                <w:sz w:val="16"/>
                <w:szCs w:val="16"/>
              </w:rPr>
              <w:t xml:space="preserve"> in today’s money </w:t>
            </w:r>
            <w:r w:rsidRPr="005976EC">
              <w:rPr>
                <w:rFonts w:ascii="Arial" w:hAnsi="Arial" w:cs="Arial"/>
                <w:b/>
                <w:color w:val="000000" w:themeColor="text1"/>
                <w:spacing w:val="-1"/>
                <w:w w:val="105"/>
                <w:sz w:val="16"/>
                <w:szCs w:val="16"/>
              </w:rPr>
              <w:t>after</w:t>
            </w:r>
            <w:r w:rsidRPr="005976EC">
              <w:rPr>
                <w:rFonts w:ascii="Arial" w:hAnsi="Arial" w:cs="Arial"/>
                <w:b/>
                <w:color w:val="000000" w:themeColor="text1"/>
                <w:spacing w:val="-4"/>
                <w:w w:val="105"/>
                <w:sz w:val="16"/>
                <w:szCs w:val="16"/>
              </w:rPr>
              <w:t xml:space="preserve"> </w:t>
            </w:r>
            <w:r w:rsidRPr="005976EC">
              <w:rPr>
                <w:rFonts w:ascii="Arial" w:hAnsi="Arial" w:cs="Arial"/>
                <w:b/>
                <w:color w:val="000000" w:themeColor="text1"/>
                <w:spacing w:val="-1"/>
                <w:w w:val="105"/>
                <w:sz w:val="16"/>
                <w:szCs w:val="16"/>
              </w:rPr>
              <w:t>costs</w:t>
            </w:r>
            <w:r w:rsidRPr="005976EC">
              <w:rPr>
                <w:rFonts w:ascii="Arial" w:hAnsi="Arial" w:cs="Arial"/>
                <w:b/>
                <w:color w:val="000000" w:themeColor="text1"/>
                <w:spacing w:val="-3"/>
                <w:w w:val="105"/>
                <w:sz w:val="16"/>
                <w:szCs w:val="16"/>
              </w:rPr>
              <w:t xml:space="preserve"> </w:t>
            </w:r>
            <w:r w:rsidRPr="005976EC">
              <w:rPr>
                <w:rFonts w:ascii="Arial" w:hAnsi="Arial" w:cs="Arial"/>
                <w:b/>
                <w:color w:val="000000" w:themeColor="text1"/>
                <w:spacing w:val="-1"/>
                <w:w w:val="105"/>
                <w:sz w:val="16"/>
                <w:szCs w:val="16"/>
              </w:rPr>
              <w:t>and</w:t>
            </w:r>
            <w:r w:rsidRPr="005976EC">
              <w:rPr>
                <w:rFonts w:ascii="Arial" w:hAnsi="Arial" w:cs="Arial"/>
                <w:b/>
                <w:color w:val="000000" w:themeColor="text1"/>
                <w:spacing w:val="24"/>
                <w:w w:val="104"/>
                <w:sz w:val="16"/>
                <w:szCs w:val="16"/>
              </w:rPr>
              <w:t xml:space="preserve"> </w:t>
            </w:r>
            <w:r w:rsidRPr="005976EC">
              <w:rPr>
                <w:rFonts w:ascii="Arial" w:hAnsi="Arial" w:cs="Arial"/>
                <w:b/>
                <w:color w:val="000000" w:themeColor="text1"/>
                <w:spacing w:val="-1"/>
                <w:w w:val="105"/>
                <w:sz w:val="16"/>
                <w:szCs w:val="16"/>
              </w:rPr>
              <w:t>charges</w:t>
            </w:r>
            <w:r w:rsidRPr="005976EC">
              <w:rPr>
                <w:rFonts w:ascii="Arial" w:hAnsi="Arial" w:cs="Arial"/>
                <w:b/>
                <w:color w:val="000000" w:themeColor="text1"/>
                <w:spacing w:val="-6"/>
                <w:w w:val="105"/>
                <w:sz w:val="16"/>
                <w:szCs w:val="16"/>
              </w:rPr>
              <w:t xml:space="preserve"> </w:t>
            </w:r>
            <w:r w:rsidRPr="005976EC">
              <w:rPr>
                <w:rFonts w:ascii="Arial" w:hAnsi="Arial" w:cs="Arial"/>
                <w:b/>
                <w:color w:val="000000" w:themeColor="text1"/>
                <w:spacing w:val="-1"/>
                <w:w w:val="105"/>
                <w:sz w:val="16"/>
                <w:szCs w:val="16"/>
              </w:rPr>
              <w:t>are</w:t>
            </w:r>
            <w:r w:rsidRPr="005976EC">
              <w:rPr>
                <w:rFonts w:ascii="Arial" w:hAnsi="Arial" w:cs="Arial"/>
                <w:b/>
                <w:color w:val="000000" w:themeColor="text1"/>
                <w:spacing w:val="25"/>
                <w:w w:val="104"/>
                <w:sz w:val="16"/>
                <w:szCs w:val="16"/>
              </w:rPr>
              <w:t xml:space="preserve"> </w:t>
            </w:r>
            <w:r w:rsidRPr="005976EC">
              <w:rPr>
                <w:rFonts w:ascii="Arial" w:hAnsi="Arial" w:cs="Arial"/>
                <w:b/>
                <w:color w:val="000000" w:themeColor="text1"/>
                <w:spacing w:val="-1"/>
                <w:w w:val="105"/>
                <w:sz w:val="16"/>
                <w:szCs w:val="16"/>
              </w:rPr>
              <w:t>taken</w:t>
            </w:r>
          </w:p>
        </w:tc>
      </w:tr>
      <w:tr w:rsidR="00C216FC" w:rsidRPr="001427F1" w14:paraId="53918CEC" w14:textId="77777777" w:rsidTr="00C216FC">
        <w:trPr>
          <w:trHeight w:hRule="exact" w:val="283"/>
        </w:trPr>
        <w:tc>
          <w:tcPr>
            <w:tcW w:w="936" w:type="dxa"/>
            <w:tcBorders>
              <w:top w:val="single" w:sz="8" w:space="0" w:color="000000"/>
              <w:left w:val="single" w:sz="8" w:space="0" w:color="000000"/>
              <w:right w:val="single" w:sz="8" w:space="0" w:color="000000"/>
            </w:tcBorders>
          </w:tcPr>
          <w:p w14:paraId="51DDA4E5" w14:textId="77777777" w:rsidR="00C216FC" w:rsidRPr="00E82458" w:rsidRDefault="00C216FC" w:rsidP="005D4764">
            <w:pPr>
              <w:pStyle w:val="TableParagraph"/>
              <w:spacing w:before="20"/>
              <w:ind w:left="5"/>
              <w:jc w:val="center"/>
              <w:rPr>
                <w:rFonts w:ascii="Arial" w:hAnsi="Arial" w:cs="Arial"/>
                <w:b/>
                <w:color w:val="000000" w:themeColor="text1"/>
                <w:w w:val="105"/>
                <w:sz w:val="16"/>
                <w:szCs w:val="16"/>
              </w:rPr>
            </w:pPr>
            <w:r w:rsidRPr="00E82458">
              <w:rPr>
                <w:rFonts w:ascii="Arial" w:hAnsi="Arial" w:cs="Arial"/>
                <w:b/>
                <w:color w:val="000000" w:themeColor="text1"/>
                <w:w w:val="105"/>
                <w:sz w:val="16"/>
                <w:szCs w:val="16"/>
              </w:rPr>
              <w:lastRenderedPageBreak/>
              <w:t>0</w:t>
            </w:r>
          </w:p>
        </w:tc>
        <w:tc>
          <w:tcPr>
            <w:tcW w:w="1339" w:type="dxa"/>
            <w:tcBorders>
              <w:top w:val="single" w:sz="8" w:space="0" w:color="000000"/>
              <w:left w:val="single" w:sz="8" w:space="0" w:color="000000"/>
              <w:right w:val="single" w:sz="8" w:space="0" w:color="000000"/>
            </w:tcBorders>
          </w:tcPr>
          <w:p w14:paraId="3F0BCDC1" w14:textId="77777777" w:rsidR="00C216FC" w:rsidRPr="00E82458" w:rsidRDefault="00C216FC" w:rsidP="005D4764">
            <w:pPr>
              <w:pStyle w:val="TableParagraph"/>
              <w:spacing w:before="20"/>
              <w:jc w:val="center"/>
              <w:rPr>
                <w:rFonts w:ascii="Arial" w:eastAsia="Source Sans Pro" w:hAnsi="Arial" w:cs="Arial"/>
                <w:color w:val="000000" w:themeColor="text1"/>
                <w:sz w:val="16"/>
                <w:szCs w:val="16"/>
              </w:rPr>
            </w:pPr>
            <w:r w:rsidRPr="00E82458">
              <w:rPr>
                <w:rFonts w:ascii="Arial" w:eastAsia="Source Sans Pro" w:hAnsi="Arial" w:cs="Arial"/>
                <w:color w:val="000000" w:themeColor="text1"/>
                <w:sz w:val="16"/>
                <w:szCs w:val="16"/>
              </w:rPr>
              <w:t>£25,000</w:t>
            </w:r>
          </w:p>
        </w:tc>
        <w:tc>
          <w:tcPr>
            <w:tcW w:w="1734" w:type="dxa"/>
            <w:tcBorders>
              <w:top w:val="single" w:sz="8" w:space="0" w:color="000000"/>
              <w:left w:val="single" w:sz="8" w:space="0" w:color="000000"/>
              <w:right w:val="single" w:sz="8" w:space="0" w:color="000000"/>
            </w:tcBorders>
          </w:tcPr>
          <w:p w14:paraId="42E13E21" w14:textId="77777777" w:rsidR="00C216FC" w:rsidRPr="00E82458" w:rsidRDefault="00C216FC" w:rsidP="005D4764">
            <w:pPr>
              <w:pStyle w:val="TableParagraph"/>
              <w:spacing w:before="20"/>
              <w:jc w:val="center"/>
              <w:rPr>
                <w:rFonts w:ascii="Arial" w:eastAsia="Source Sans Pro" w:hAnsi="Arial" w:cs="Arial"/>
                <w:color w:val="000000" w:themeColor="text1"/>
                <w:sz w:val="16"/>
                <w:szCs w:val="16"/>
              </w:rPr>
            </w:pPr>
            <w:r w:rsidRPr="00E82458">
              <w:rPr>
                <w:rFonts w:ascii="Arial" w:eastAsia="Source Sans Pro" w:hAnsi="Arial" w:cs="Arial"/>
                <w:color w:val="000000" w:themeColor="text1"/>
                <w:sz w:val="16"/>
                <w:szCs w:val="16"/>
              </w:rPr>
              <w:t>£25,000</w:t>
            </w:r>
          </w:p>
        </w:tc>
        <w:tc>
          <w:tcPr>
            <w:tcW w:w="1843" w:type="dxa"/>
            <w:tcBorders>
              <w:top w:val="single" w:sz="8" w:space="0" w:color="000000"/>
              <w:left w:val="single" w:sz="8" w:space="0" w:color="000000"/>
              <w:right w:val="single" w:sz="8" w:space="0" w:color="000000"/>
            </w:tcBorders>
          </w:tcPr>
          <w:p w14:paraId="561949BC" w14:textId="77777777" w:rsidR="00C216FC" w:rsidRPr="00E82458" w:rsidRDefault="00C216FC" w:rsidP="005D4764">
            <w:pPr>
              <w:pStyle w:val="TableParagraph"/>
              <w:spacing w:before="20"/>
              <w:jc w:val="center"/>
              <w:rPr>
                <w:rFonts w:ascii="Arial" w:eastAsia="Source Sans Pro" w:hAnsi="Arial" w:cs="Arial"/>
                <w:color w:val="000000" w:themeColor="text1"/>
                <w:sz w:val="16"/>
                <w:szCs w:val="16"/>
              </w:rPr>
            </w:pPr>
            <w:r w:rsidRPr="00E82458">
              <w:rPr>
                <w:rFonts w:ascii="Arial" w:eastAsia="Source Sans Pro" w:hAnsi="Arial" w:cs="Arial"/>
                <w:color w:val="000000" w:themeColor="text1"/>
                <w:sz w:val="16"/>
                <w:szCs w:val="16"/>
              </w:rPr>
              <w:t>£25,000</w:t>
            </w:r>
          </w:p>
        </w:tc>
        <w:tc>
          <w:tcPr>
            <w:tcW w:w="1701" w:type="dxa"/>
            <w:tcBorders>
              <w:top w:val="single" w:sz="8" w:space="0" w:color="000000"/>
              <w:left w:val="single" w:sz="8" w:space="0" w:color="000000"/>
              <w:right w:val="single" w:sz="8" w:space="0" w:color="000000"/>
            </w:tcBorders>
          </w:tcPr>
          <w:p w14:paraId="232E91A8" w14:textId="77777777" w:rsidR="00C216FC" w:rsidRPr="00E82458" w:rsidRDefault="00C216FC" w:rsidP="005D4764">
            <w:pPr>
              <w:pStyle w:val="TableParagraph"/>
              <w:spacing w:before="20"/>
              <w:jc w:val="center"/>
              <w:rPr>
                <w:rFonts w:ascii="Arial" w:eastAsia="Source Sans Pro" w:hAnsi="Arial" w:cs="Arial"/>
                <w:color w:val="000000" w:themeColor="text1"/>
                <w:sz w:val="16"/>
                <w:szCs w:val="16"/>
              </w:rPr>
            </w:pPr>
            <w:r w:rsidRPr="00E82458">
              <w:rPr>
                <w:rFonts w:ascii="Arial" w:eastAsia="Source Sans Pro" w:hAnsi="Arial" w:cs="Arial"/>
                <w:color w:val="000000" w:themeColor="text1"/>
                <w:sz w:val="16"/>
                <w:szCs w:val="16"/>
              </w:rPr>
              <w:t>£25,000</w:t>
            </w:r>
          </w:p>
        </w:tc>
      </w:tr>
      <w:tr w:rsidR="00C216FC" w:rsidRPr="001427F1" w14:paraId="63C50B36" w14:textId="77777777" w:rsidTr="00C216FC">
        <w:trPr>
          <w:trHeight w:hRule="exact" w:val="283"/>
        </w:trPr>
        <w:tc>
          <w:tcPr>
            <w:tcW w:w="936" w:type="dxa"/>
            <w:tcBorders>
              <w:left w:val="single" w:sz="8" w:space="0" w:color="000000"/>
              <w:bottom w:val="nil"/>
              <w:right w:val="single" w:sz="8" w:space="0" w:color="000000"/>
            </w:tcBorders>
          </w:tcPr>
          <w:p w14:paraId="11D82C61" w14:textId="77777777" w:rsidR="00C216FC" w:rsidRPr="00E82458" w:rsidRDefault="00C216FC" w:rsidP="005D4764">
            <w:pPr>
              <w:pStyle w:val="TableParagraph"/>
              <w:spacing w:before="20"/>
              <w:ind w:left="5"/>
              <w:jc w:val="center"/>
              <w:rPr>
                <w:rFonts w:ascii="Arial" w:eastAsia="Source Sans Pro" w:hAnsi="Arial" w:cs="Arial"/>
                <w:color w:val="000000" w:themeColor="text1"/>
                <w:sz w:val="16"/>
                <w:szCs w:val="16"/>
              </w:rPr>
            </w:pPr>
            <w:r w:rsidRPr="00E82458">
              <w:rPr>
                <w:rFonts w:ascii="Arial" w:hAnsi="Arial" w:cs="Arial"/>
                <w:b/>
                <w:color w:val="000000" w:themeColor="text1"/>
                <w:w w:val="105"/>
                <w:sz w:val="16"/>
                <w:szCs w:val="16"/>
              </w:rPr>
              <w:t>1</w:t>
            </w:r>
          </w:p>
        </w:tc>
        <w:tc>
          <w:tcPr>
            <w:tcW w:w="1339" w:type="dxa"/>
            <w:tcBorders>
              <w:left w:val="single" w:sz="8" w:space="0" w:color="000000"/>
              <w:bottom w:val="nil"/>
              <w:right w:val="single" w:sz="8" w:space="0" w:color="000000"/>
            </w:tcBorders>
          </w:tcPr>
          <w:p w14:paraId="2D2B3545" w14:textId="0F9106E4" w:rsidR="00C216FC" w:rsidRPr="00DD6016" w:rsidRDefault="00C216FC" w:rsidP="005D4764">
            <w:pPr>
              <w:pStyle w:val="TableParagraph"/>
              <w:spacing w:before="20"/>
              <w:jc w:val="center"/>
              <w:rPr>
                <w:rFonts w:ascii="Arial" w:eastAsia="Source Sans Pro" w:hAnsi="Arial" w:cs="Arial"/>
                <w:color w:val="000000" w:themeColor="text1"/>
                <w:sz w:val="16"/>
                <w:szCs w:val="16"/>
              </w:rPr>
            </w:pPr>
            <w:r w:rsidRPr="00DD6016">
              <w:rPr>
                <w:color w:val="000000" w:themeColor="text1"/>
                <w:spacing w:val="-2"/>
                <w:sz w:val="16"/>
              </w:rPr>
              <w:t>£25,</w:t>
            </w:r>
            <w:r w:rsidR="00DD6016" w:rsidRPr="00DD6016">
              <w:rPr>
                <w:color w:val="000000" w:themeColor="text1"/>
                <w:spacing w:val="-2"/>
                <w:sz w:val="16"/>
              </w:rPr>
              <w:t>5</w:t>
            </w:r>
            <w:r w:rsidRPr="00DD6016">
              <w:rPr>
                <w:color w:val="000000" w:themeColor="text1"/>
                <w:spacing w:val="-2"/>
                <w:sz w:val="16"/>
              </w:rPr>
              <w:t>00</w:t>
            </w:r>
          </w:p>
        </w:tc>
        <w:tc>
          <w:tcPr>
            <w:tcW w:w="1734" w:type="dxa"/>
            <w:tcBorders>
              <w:left w:val="single" w:sz="8" w:space="0" w:color="000000"/>
              <w:bottom w:val="nil"/>
              <w:right w:val="single" w:sz="8" w:space="0" w:color="000000"/>
            </w:tcBorders>
          </w:tcPr>
          <w:p w14:paraId="6DA75C19" w14:textId="35396B2F" w:rsidR="00C216FC" w:rsidRPr="00DD6016" w:rsidRDefault="00C216FC" w:rsidP="005D4764">
            <w:pPr>
              <w:pStyle w:val="TableParagraph"/>
              <w:spacing w:before="20"/>
              <w:jc w:val="center"/>
              <w:rPr>
                <w:rFonts w:ascii="Arial" w:eastAsia="Source Sans Pro" w:hAnsi="Arial" w:cs="Arial"/>
                <w:color w:val="000000" w:themeColor="text1"/>
                <w:sz w:val="16"/>
                <w:szCs w:val="16"/>
              </w:rPr>
            </w:pPr>
            <w:r w:rsidRPr="00DD6016">
              <w:rPr>
                <w:color w:val="000000" w:themeColor="text1"/>
                <w:spacing w:val="-2"/>
                <w:sz w:val="16"/>
              </w:rPr>
              <w:t>£25,</w:t>
            </w:r>
            <w:r w:rsidR="00DD6016" w:rsidRPr="00DD6016">
              <w:rPr>
                <w:color w:val="000000" w:themeColor="text1"/>
                <w:spacing w:val="-2"/>
                <w:sz w:val="16"/>
              </w:rPr>
              <w:t>3</w:t>
            </w:r>
            <w:r w:rsidRPr="00DD6016">
              <w:rPr>
                <w:color w:val="000000" w:themeColor="text1"/>
                <w:spacing w:val="-2"/>
                <w:sz w:val="16"/>
              </w:rPr>
              <w:t>00</w:t>
            </w:r>
          </w:p>
        </w:tc>
        <w:tc>
          <w:tcPr>
            <w:tcW w:w="1843" w:type="dxa"/>
            <w:tcBorders>
              <w:left w:val="single" w:sz="8" w:space="0" w:color="000000"/>
              <w:bottom w:val="nil"/>
              <w:right w:val="single" w:sz="8" w:space="0" w:color="000000"/>
            </w:tcBorders>
          </w:tcPr>
          <w:p w14:paraId="48852896" w14:textId="02E88453" w:rsidR="00C216FC" w:rsidRPr="00E82458" w:rsidRDefault="00C216FC" w:rsidP="005D4764">
            <w:pPr>
              <w:pStyle w:val="TableParagraph"/>
              <w:spacing w:before="20"/>
              <w:jc w:val="center"/>
              <w:rPr>
                <w:rFonts w:ascii="Arial" w:eastAsia="Source Sans Pro" w:hAnsi="Arial" w:cs="Arial"/>
                <w:color w:val="000000" w:themeColor="text1"/>
                <w:sz w:val="16"/>
                <w:szCs w:val="16"/>
              </w:rPr>
            </w:pPr>
            <w:r w:rsidRPr="00E82458">
              <w:rPr>
                <w:color w:val="000000" w:themeColor="text1"/>
                <w:spacing w:val="-2"/>
                <w:sz w:val="16"/>
              </w:rPr>
              <w:t>£25,</w:t>
            </w:r>
            <w:r w:rsidR="00E82458" w:rsidRPr="00E82458">
              <w:rPr>
                <w:color w:val="000000" w:themeColor="text1"/>
                <w:spacing w:val="-2"/>
                <w:sz w:val="16"/>
              </w:rPr>
              <w:t>1</w:t>
            </w:r>
            <w:r w:rsidRPr="00E82458">
              <w:rPr>
                <w:color w:val="000000" w:themeColor="text1"/>
                <w:spacing w:val="-2"/>
                <w:sz w:val="16"/>
              </w:rPr>
              <w:t>00</w:t>
            </w:r>
          </w:p>
        </w:tc>
        <w:tc>
          <w:tcPr>
            <w:tcW w:w="1701" w:type="dxa"/>
            <w:tcBorders>
              <w:left w:val="single" w:sz="8" w:space="0" w:color="000000"/>
              <w:bottom w:val="nil"/>
              <w:right w:val="single" w:sz="8" w:space="0" w:color="000000"/>
            </w:tcBorders>
          </w:tcPr>
          <w:p w14:paraId="3772E5EC" w14:textId="41FEE0FE" w:rsidR="00C216FC" w:rsidRPr="00E82458" w:rsidRDefault="00C216FC" w:rsidP="005D4764">
            <w:pPr>
              <w:pStyle w:val="TableParagraph"/>
              <w:spacing w:before="20"/>
              <w:jc w:val="center"/>
              <w:rPr>
                <w:rFonts w:ascii="Arial" w:eastAsia="Source Sans Pro" w:hAnsi="Arial" w:cs="Arial"/>
                <w:color w:val="000000" w:themeColor="text1"/>
                <w:sz w:val="16"/>
                <w:szCs w:val="16"/>
              </w:rPr>
            </w:pPr>
            <w:r w:rsidRPr="00E82458">
              <w:rPr>
                <w:color w:val="000000" w:themeColor="text1"/>
                <w:spacing w:val="-2"/>
                <w:sz w:val="16"/>
              </w:rPr>
              <w:t>£2</w:t>
            </w:r>
            <w:r w:rsidR="00E82458" w:rsidRPr="00E82458">
              <w:rPr>
                <w:color w:val="000000" w:themeColor="text1"/>
                <w:spacing w:val="-2"/>
                <w:sz w:val="16"/>
              </w:rPr>
              <w:t>4</w:t>
            </w:r>
            <w:r w:rsidRPr="00E82458">
              <w:rPr>
                <w:color w:val="000000" w:themeColor="text1"/>
                <w:spacing w:val="-2"/>
                <w:sz w:val="16"/>
              </w:rPr>
              <w:t>,</w:t>
            </w:r>
            <w:r w:rsidR="00E82458" w:rsidRPr="00E82458">
              <w:rPr>
                <w:color w:val="000000" w:themeColor="text1"/>
                <w:spacing w:val="-2"/>
                <w:sz w:val="16"/>
              </w:rPr>
              <w:t>9</w:t>
            </w:r>
            <w:r w:rsidRPr="00E82458">
              <w:rPr>
                <w:color w:val="000000" w:themeColor="text1"/>
                <w:spacing w:val="-2"/>
                <w:sz w:val="16"/>
              </w:rPr>
              <w:t>00</w:t>
            </w:r>
          </w:p>
        </w:tc>
      </w:tr>
      <w:tr w:rsidR="00C216FC" w:rsidRPr="001427F1" w14:paraId="5B8C533F" w14:textId="77777777" w:rsidTr="00C216FC">
        <w:trPr>
          <w:trHeight w:hRule="exact" w:val="281"/>
        </w:trPr>
        <w:tc>
          <w:tcPr>
            <w:tcW w:w="936" w:type="dxa"/>
            <w:tcBorders>
              <w:top w:val="nil"/>
              <w:left w:val="single" w:sz="8" w:space="0" w:color="000000"/>
              <w:bottom w:val="nil"/>
              <w:right w:val="single" w:sz="8" w:space="0" w:color="000000"/>
            </w:tcBorders>
          </w:tcPr>
          <w:p w14:paraId="194C1254" w14:textId="77777777" w:rsidR="00C216FC" w:rsidRPr="00E82458" w:rsidRDefault="00C216FC" w:rsidP="005D4764">
            <w:pPr>
              <w:pStyle w:val="TableParagraph"/>
              <w:spacing w:before="28"/>
              <w:ind w:left="5"/>
              <w:jc w:val="center"/>
              <w:rPr>
                <w:rFonts w:ascii="Arial" w:eastAsia="Source Sans Pro" w:hAnsi="Arial" w:cs="Arial"/>
                <w:color w:val="000000" w:themeColor="text1"/>
                <w:sz w:val="16"/>
                <w:szCs w:val="16"/>
              </w:rPr>
            </w:pPr>
            <w:r w:rsidRPr="00E82458">
              <w:rPr>
                <w:rFonts w:ascii="Arial" w:hAnsi="Arial" w:cs="Arial"/>
                <w:b/>
                <w:color w:val="000000" w:themeColor="text1"/>
                <w:w w:val="105"/>
                <w:sz w:val="16"/>
                <w:szCs w:val="16"/>
              </w:rPr>
              <w:t>2</w:t>
            </w:r>
          </w:p>
        </w:tc>
        <w:tc>
          <w:tcPr>
            <w:tcW w:w="1339" w:type="dxa"/>
            <w:tcBorders>
              <w:top w:val="nil"/>
              <w:left w:val="single" w:sz="8" w:space="0" w:color="000000"/>
              <w:bottom w:val="nil"/>
              <w:right w:val="single" w:sz="8" w:space="0" w:color="000000"/>
            </w:tcBorders>
          </w:tcPr>
          <w:p w14:paraId="1667CFB9" w14:textId="65F734F7" w:rsidR="00C216FC" w:rsidRPr="00DD6016" w:rsidRDefault="00C216FC" w:rsidP="005D4764">
            <w:pPr>
              <w:pStyle w:val="TableParagraph"/>
              <w:spacing w:before="28"/>
              <w:jc w:val="center"/>
              <w:rPr>
                <w:rFonts w:ascii="Arial" w:eastAsia="Source Sans Pro" w:hAnsi="Arial" w:cs="Arial"/>
                <w:color w:val="000000" w:themeColor="text1"/>
                <w:sz w:val="16"/>
                <w:szCs w:val="16"/>
              </w:rPr>
            </w:pPr>
            <w:r w:rsidRPr="00DD6016">
              <w:rPr>
                <w:color w:val="000000" w:themeColor="text1"/>
                <w:spacing w:val="-2"/>
                <w:sz w:val="16"/>
              </w:rPr>
              <w:t>£26,</w:t>
            </w:r>
            <w:r w:rsidR="00DD6016" w:rsidRPr="00DD6016">
              <w:rPr>
                <w:color w:val="000000" w:themeColor="text1"/>
                <w:spacing w:val="-2"/>
                <w:sz w:val="16"/>
              </w:rPr>
              <w:t>0</w:t>
            </w:r>
            <w:r w:rsidRPr="00DD6016">
              <w:rPr>
                <w:color w:val="000000" w:themeColor="text1"/>
                <w:spacing w:val="-2"/>
                <w:sz w:val="16"/>
              </w:rPr>
              <w:t>00</w:t>
            </w:r>
          </w:p>
        </w:tc>
        <w:tc>
          <w:tcPr>
            <w:tcW w:w="1734" w:type="dxa"/>
            <w:tcBorders>
              <w:top w:val="nil"/>
              <w:left w:val="single" w:sz="8" w:space="0" w:color="000000"/>
              <w:bottom w:val="nil"/>
              <w:right w:val="single" w:sz="8" w:space="0" w:color="000000"/>
            </w:tcBorders>
          </w:tcPr>
          <w:p w14:paraId="2798B052" w14:textId="537D5795" w:rsidR="00C216FC" w:rsidRPr="00DD6016" w:rsidRDefault="00C216FC" w:rsidP="005D4764">
            <w:pPr>
              <w:pStyle w:val="TableParagraph"/>
              <w:spacing w:before="28"/>
              <w:jc w:val="center"/>
              <w:rPr>
                <w:rFonts w:ascii="Arial" w:eastAsia="Source Sans Pro" w:hAnsi="Arial" w:cs="Arial"/>
                <w:color w:val="000000" w:themeColor="text1"/>
                <w:sz w:val="16"/>
                <w:szCs w:val="16"/>
              </w:rPr>
            </w:pPr>
            <w:r w:rsidRPr="00DD6016">
              <w:rPr>
                <w:color w:val="000000" w:themeColor="text1"/>
                <w:spacing w:val="-2"/>
                <w:sz w:val="16"/>
              </w:rPr>
              <w:t>£2</w:t>
            </w:r>
            <w:r w:rsidR="00DD6016" w:rsidRPr="00DD6016">
              <w:rPr>
                <w:color w:val="000000" w:themeColor="text1"/>
                <w:spacing w:val="-2"/>
                <w:sz w:val="16"/>
              </w:rPr>
              <w:t>5</w:t>
            </w:r>
            <w:r w:rsidRPr="00DD6016">
              <w:rPr>
                <w:color w:val="000000" w:themeColor="text1"/>
                <w:spacing w:val="-2"/>
                <w:sz w:val="16"/>
              </w:rPr>
              <w:t>,</w:t>
            </w:r>
            <w:r w:rsidR="00DD6016" w:rsidRPr="00DD6016">
              <w:rPr>
                <w:color w:val="000000" w:themeColor="text1"/>
                <w:spacing w:val="-2"/>
                <w:sz w:val="16"/>
              </w:rPr>
              <w:t>6</w:t>
            </w:r>
            <w:r w:rsidRPr="00DD6016">
              <w:rPr>
                <w:color w:val="000000" w:themeColor="text1"/>
                <w:spacing w:val="-2"/>
                <w:sz w:val="16"/>
              </w:rPr>
              <w:t>00</w:t>
            </w:r>
          </w:p>
        </w:tc>
        <w:tc>
          <w:tcPr>
            <w:tcW w:w="1843" w:type="dxa"/>
            <w:tcBorders>
              <w:top w:val="nil"/>
              <w:left w:val="single" w:sz="8" w:space="0" w:color="000000"/>
              <w:bottom w:val="nil"/>
              <w:right w:val="single" w:sz="8" w:space="0" w:color="000000"/>
            </w:tcBorders>
          </w:tcPr>
          <w:p w14:paraId="27B0F18A" w14:textId="2596A58F" w:rsidR="00C216FC" w:rsidRPr="00E82458" w:rsidRDefault="00C216FC" w:rsidP="005D4764">
            <w:pPr>
              <w:pStyle w:val="TableParagraph"/>
              <w:spacing w:before="28"/>
              <w:jc w:val="center"/>
              <w:rPr>
                <w:rFonts w:ascii="Arial" w:eastAsia="Source Sans Pro" w:hAnsi="Arial" w:cs="Arial"/>
                <w:color w:val="000000" w:themeColor="text1"/>
                <w:sz w:val="16"/>
                <w:szCs w:val="16"/>
              </w:rPr>
            </w:pPr>
            <w:r w:rsidRPr="00E82458">
              <w:rPr>
                <w:color w:val="000000" w:themeColor="text1"/>
                <w:spacing w:val="-2"/>
                <w:sz w:val="16"/>
              </w:rPr>
              <w:t>£2</w:t>
            </w:r>
            <w:r w:rsidR="00E82458" w:rsidRPr="00E82458">
              <w:rPr>
                <w:color w:val="000000" w:themeColor="text1"/>
                <w:spacing w:val="-2"/>
                <w:sz w:val="16"/>
              </w:rPr>
              <w:t>5</w:t>
            </w:r>
            <w:r w:rsidRPr="00E82458">
              <w:rPr>
                <w:color w:val="000000" w:themeColor="text1"/>
                <w:spacing w:val="-2"/>
                <w:sz w:val="16"/>
              </w:rPr>
              <w:t>,200</w:t>
            </w:r>
          </w:p>
        </w:tc>
        <w:tc>
          <w:tcPr>
            <w:tcW w:w="1701" w:type="dxa"/>
            <w:tcBorders>
              <w:top w:val="nil"/>
              <w:left w:val="single" w:sz="8" w:space="0" w:color="000000"/>
              <w:bottom w:val="nil"/>
              <w:right w:val="single" w:sz="8" w:space="0" w:color="000000"/>
            </w:tcBorders>
          </w:tcPr>
          <w:p w14:paraId="4A2EF401" w14:textId="65BAA430" w:rsidR="00C216FC" w:rsidRPr="00E82458" w:rsidRDefault="00C216FC" w:rsidP="005D4764">
            <w:pPr>
              <w:pStyle w:val="TableParagraph"/>
              <w:spacing w:before="28"/>
              <w:jc w:val="center"/>
              <w:rPr>
                <w:rFonts w:ascii="Arial" w:eastAsia="Source Sans Pro" w:hAnsi="Arial" w:cs="Arial"/>
                <w:color w:val="000000" w:themeColor="text1"/>
                <w:sz w:val="16"/>
                <w:szCs w:val="16"/>
              </w:rPr>
            </w:pPr>
            <w:r w:rsidRPr="00E82458">
              <w:rPr>
                <w:color w:val="000000" w:themeColor="text1"/>
                <w:spacing w:val="-2"/>
                <w:sz w:val="16"/>
              </w:rPr>
              <w:t>£2</w:t>
            </w:r>
            <w:r w:rsidR="00E82458" w:rsidRPr="00E82458">
              <w:rPr>
                <w:color w:val="000000" w:themeColor="text1"/>
                <w:spacing w:val="-2"/>
                <w:sz w:val="16"/>
              </w:rPr>
              <w:t>4</w:t>
            </w:r>
            <w:r w:rsidRPr="00E82458">
              <w:rPr>
                <w:color w:val="000000" w:themeColor="text1"/>
                <w:spacing w:val="-2"/>
                <w:sz w:val="16"/>
              </w:rPr>
              <w:t>,</w:t>
            </w:r>
            <w:r w:rsidR="00E82458" w:rsidRPr="00E82458">
              <w:rPr>
                <w:color w:val="000000" w:themeColor="text1"/>
                <w:spacing w:val="-2"/>
                <w:sz w:val="16"/>
              </w:rPr>
              <w:t>8</w:t>
            </w:r>
            <w:r w:rsidRPr="00E82458">
              <w:rPr>
                <w:color w:val="000000" w:themeColor="text1"/>
                <w:spacing w:val="-2"/>
                <w:sz w:val="16"/>
              </w:rPr>
              <w:t>00</w:t>
            </w:r>
          </w:p>
        </w:tc>
      </w:tr>
      <w:tr w:rsidR="00C216FC" w:rsidRPr="001427F1" w14:paraId="73D802BD" w14:textId="77777777" w:rsidTr="00C216FC">
        <w:trPr>
          <w:trHeight w:hRule="exact" w:val="281"/>
        </w:trPr>
        <w:tc>
          <w:tcPr>
            <w:tcW w:w="936" w:type="dxa"/>
            <w:tcBorders>
              <w:top w:val="nil"/>
              <w:left w:val="single" w:sz="8" w:space="0" w:color="000000"/>
              <w:bottom w:val="nil"/>
              <w:right w:val="single" w:sz="8" w:space="0" w:color="000000"/>
            </w:tcBorders>
          </w:tcPr>
          <w:p w14:paraId="316272A0" w14:textId="77777777" w:rsidR="00C216FC" w:rsidRPr="00E82458" w:rsidRDefault="00C216FC" w:rsidP="005D4764">
            <w:pPr>
              <w:pStyle w:val="TableParagraph"/>
              <w:spacing w:before="28"/>
              <w:ind w:left="5"/>
              <w:jc w:val="center"/>
              <w:rPr>
                <w:rFonts w:ascii="Arial" w:eastAsia="Source Sans Pro" w:hAnsi="Arial" w:cs="Arial"/>
                <w:color w:val="000000" w:themeColor="text1"/>
                <w:sz w:val="16"/>
                <w:szCs w:val="16"/>
              </w:rPr>
            </w:pPr>
            <w:r w:rsidRPr="00E82458">
              <w:rPr>
                <w:rFonts w:ascii="Arial" w:hAnsi="Arial" w:cs="Arial"/>
                <w:b/>
                <w:color w:val="000000" w:themeColor="text1"/>
                <w:w w:val="105"/>
                <w:sz w:val="16"/>
                <w:szCs w:val="16"/>
              </w:rPr>
              <w:t>3</w:t>
            </w:r>
          </w:p>
        </w:tc>
        <w:tc>
          <w:tcPr>
            <w:tcW w:w="1339" w:type="dxa"/>
            <w:tcBorders>
              <w:top w:val="nil"/>
              <w:left w:val="single" w:sz="8" w:space="0" w:color="000000"/>
              <w:bottom w:val="nil"/>
              <w:right w:val="single" w:sz="8" w:space="0" w:color="000000"/>
            </w:tcBorders>
          </w:tcPr>
          <w:p w14:paraId="28D43CB1" w14:textId="7052128B" w:rsidR="00C216FC" w:rsidRPr="00DD6016" w:rsidRDefault="00C216FC" w:rsidP="005D4764">
            <w:pPr>
              <w:pStyle w:val="TableParagraph"/>
              <w:spacing w:before="28"/>
              <w:jc w:val="center"/>
              <w:rPr>
                <w:rFonts w:ascii="Arial" w:eastAsia="Source Sans Pro" w:hAnsi="Arial" w:cs="Arial"/>
                <w:color w:val="000000" w:themeColor="text1"/>
                <w:sz w:val="16"/>
                <w:szCs w:val="16"/>
              </w:rPr>
            </w:pPr>
            <w:r w:rsidRPr="00DD6016">
              <w:rPr>
                <w:color w:val="000000" w:themeColor="text1"/>
                <w:spacing w:val="-2"/>
                <w:sz w:val="16"/>
              </w:rPr>
              <w:t>£2</w:t>
            </w:r>
            <w:r w:rsidR="00DD6016" w:rsidRPr="00DD6016">
              <w:rPr>
                <w:color w:val="000000" w:themeColor="text1"/>
                <w:spacing w:val="-2"/>
                <w:sz w:val="16"/>
              </w:rPr>
              <w:t>6</w:t>
            </w:r>
            <w:r w:rsidRPr="00DD6016">
              <w:rPr>
                <w:color w:val="000000" w:themeColor="text1"/>
                <w:spacing w:val="-2"/>
                <w:sz w:val="16"/>
              </w:rPr>
              <w:t>,</w:t>
            </w:r>
            <w:r w:rsidR="00DD6016" w:rsidRPr="00DD6016">
              <w:rPr>
                <w:color w:val="000000" w:themeColor="text1"/>
                <w:spacing w:val="-2"/>
                <w:sz w:val="16"/>
              </w:rPr>
              <w:t>6</w:t>
            </w:r>
            <w:r w:rsidRPr="00DD6016">
              <w:rPr>
                <w:color w:val="000000" w:themeColor="text1"/>
                <w:spacing w:val="-2"/>
                <w:sz w:val="16"/>
              </w:rPr>
              <w:t>00</w:t>
            </w:r>
          </w:p>
        </w:tc>
        <w:tc>
          <w:tcPr>
            <w:tcW w:w="1734" w:type="dxa"/>
            <w:tcBorders>
              <w:top w:val="nil"/>
              <w:left w:val="single" w:sz="8" w:space="0" w:color="000000"/>
              <w:bottom w:val="nil"/>
              <w:right w:val="single" w:sz="8" w:space="0" w:color="000000"/>
            </w:tcBorders>
          </w:tcPr>
          <w:p w14:paraId="71292099" w14:textId="68E7A7F1" w:rsidR="00C216FC" w:rsidRPr="00DD6016" w:rsidRDefault="00C216FC" w:rsidP="005D4764">
            <w:pPr>
              <w:pStyle w:val="TableParagraph"/>
              <w:spacing w:before="28"/>
              <w:jc w:val="center"/>
              <w:rPr>
                <w:rFonts w:ascii="Arial" w:eastAsia="Source Sans Pro" w:hAnsi="Arial" w:cs="Arial"/>
                <w:color w:val="000000" w:themeColor="text1"/>
                <w:sz w:val="16"/>
                <w:szCs w:val="16"/>
              </w:rPr>
            </w:pPr>
            <w:r w:rsidRPr="00DD6016">
              <w:rPr>
                <w:color w:val="000000" w:themeColor="text1"/>
                <w:spacing w:val="-2"/>
                <w:sz w:val="16"/>
              </w:rPr>
              <w:t>£2</w:t>
            </w:r>
            <w:r w:rsidR="00DD6016" w:rsidRPr="00DD6016">
              <w:rPr>
                <w:color w:val="000000" w:themeColor="text1"/>
                <w:spacing w:val="-2"/>
                <w:sz w:val="16"/>
              </w:rPr>
              <w:t>5</w:t>
            </w:r>
            <w:r w:rsidRPr="00DD6016">
              <w:rPr>
                <w:color w:val="000000" w:themeColor="text1"/>
                <w:spacing w:val="-2"/>
                <w:sz w:val="16"/>
              </w:rPr>
              <w:t>,</w:t>
            </w:r>
            <w:r w:rsidR="00DD6016" w:rsidRPr="00DD6016">
              <w:rPr>
                <w:color w:val="000000" w:themeColor="text1"/>
                <w:spacing w:val="-2"/>
                <w:sz w:val="16"/>
              </w:rPr>
              <w:t>9</w:t>
            </w:r>
            <w:r w:rsidRPr="00DD6016">
              <w:rPr>
                <w:color w:val="000000" w:themeColor="text1"/>
                <w:spacing w:val="-2"/>
                <w:sz w:val="16"/>
              </w:rPr>
              <w:t>00</w:t>
            </w:r>
          </w:p>
        </w:tc>
        <w:tc>
          <w:tcPr>
            <w:tcW w:w="1843" w:type="dxa"/>
            <w:tcBorders>
              <w:top w:val="nil"/>
              <w:left w:val="single" w:sz="8" w:space="0" w:color="000000"/>
              <w:bottom w:val="nil"/>
              <w:right w:val="single" w:sz="8" w:space="0" w:color="000000"/>
            </w:tcBorders>
          </w:tcPr>
          <w:p w14:paraId="51D486AA" w14:textId="7BCC3509" w:rsidR="00C216FC" w:rsidRPr="00E82458" w:rsidRDefault="00C216FC" w:rsidP="005D4764">
            <w:pPr>
              <w:pStyle w:val="TableParagraph"/>
              <w:spacing w:before="28"/>
              <w:jc w:val="center"/>
              <w:rPr>
                <w:rFonts w:ascii="Arial" w:eastAsia="Source Sans Pro" w:hAnsi="Arial" w:cs="Arial"/>
                <w:color w:val="000000" w:themeColor="text1"/>
                <w:sz w:val="16"/>
                <w:szCs w:val="16"/>
              </w:rPr>
            </w:pPr>
            <w:r w:rsidRPr="00E82458">
              <w:rPr>
                <w:color w:val="000000" w:themeColor="text1"/>
                <w:spacing w:val="-2"/>
                <w:sz w:val="16"/>
              </w:rPr>
              <w:t>£2</w:t>
            </w:r>
            <w:r w:rsidR="00E82458" w:rsidRPr="00E82458">
              <w:rPr>
                <w:color w:val="000000" w:themeColor="text1"/>
                <w:spacing w:val="-2"/>
                <w:sz w:val="16"/>
              </w:rPr>
              <w:t>5</w:t>
            </w:r>
            <w:r w:rsidRPr="00E82458">
              <w:rPr>
                <w:color w:val="000000" w:themeColor="text1"/>
                <w:spacing w:val="-2"/>
                <w:sz w:val="16"/>
              </w:rPr>
              <w:t>,</w:t>
            </w:r>
            <w:r w:rsidR="00E82458" w:rsidRPr="00E82458">
              <w:rPr>
                <w:color w:val="000000" w:themeColor="text1"/>
                <w:spacing w:val="-2"/>
                <w:sz w:val="16"/>
              </w:rPr>
              <w:t>4</w:t>
            </w:r>
            <w:r w:rsidRPr="00E82458">
              <w:rPr>
                <w:color w:val="000000" w:themeColor="text1"/>
                <w:spacing w:val="-2"/>
                <w:sz w:val="16"/>
              </w:rPr>
              <w:t>00</w:t>
            </w:r>
          </w:p>
        </w:tc>
        <w:tc>
          <w:tcPr>
            <w:tcW w:w="1701" w:type="dxa"/>
            <w:tcBorders>
              <w:top w:val="nil"/>
              <w:left w:val="single" w:sz="8" w:space="0" w:color="000000"/>
              <w:bottom w:val="nil"/>
              <w:right w:val="single" w:sz="8" w:space="0" w:color="000000"/>
            </w:tcBorders>
          </w:tcPr>
          <w:p w14:paraId="613F15FA" w14:textId="0570EDCD" w:rsidR="00C216FC" w:rsidRPr="00E82458" w:rsidRDefault="00C216FC" w:rsidP="005D4764">
            <w:pPr>
              <w:pStyle w:val="TableParagraph"/>
              <w:spacing w:before="28"/>
              <w:jc w:val="center"/>
              <w:rPr>
                <w:rFonts w:ascii="Arial" w:eastAsia="Source Sans Pro" w:hAnsi="Arial" w:cs="Arial"/>
                <w:color w:val="000000" w:themeColor="text1"/>
                <w:sz w:val="16"/>
                <w:szCs w:val="16"/>
              </w:rPr>
            </w:pPr>
            <w:r w:rsidRPr="00E82458">
              <w:rPr>
                <w:color w:val="000000" w:themeColor="text1"/>
                <w:spacing w:val="-2"/>
                <w:sz w:val="16"/>
              </w:rPr>
              <w:t>£2</w:t>
            </w:r>
            <w:r w:rsidR="00E82458" w:rsidRPr="00E82458">
              <w:rPr>
                <w:color w:val="000000" w:themeColor="text1"/>
                <w:spacing w:val="-2"/>
                <w:sz w:val="16"/>
              </w:rPr>
              <w:t>4</w:t>
            </w:r>
            <w:r w:rsidRPr="00E82458">
              <w:rPr>
                <w:color w:val="000000" w:themeColor="text1"/>
                <w:spacing w:val="-2"/>
                <w:sz w:val="16"/>
              </w:rPr>
              <w:t>,</w:t>
            </w:r>
            <w:r w:rsidR="00E82458" w:rsidRPr="00E82458">
              <w:rPr>
                <w:color w:val="000000" w:themeColor="text1"/>
                <w:spacing w:val="-2"/>
                <w:sz w:val="16"/>
              </w:rPr>
              <w:t>7</w:t>
            </w:r>
            <w:r w:rsidRPr="00E82458">
              <w:rPr>
                <w:color w:val="000000" w:themeColor="text1"/>
                <w:spacing w:val="-2"/>
                <w:sz w:val="16"/>
              </w:rPr>
              <w:t>00</w:t>
            </w:r>
          </w:p>
        </w:tc>
      </w:tr>
      <w:tr w:rsidR="00C216FC" w:rsidRPr="001427F1" w14:paraId="037BFFEB" w14:textId="77777777" w:rsidTr="00C216FC">
        <w:trPr>
          <w:trHeight w:hRule="exact" w:val="281"/>
        </w:trPr>
        <w:tc>
          <w:tcPr>
            <w:tcW w:w="936" w:type="dxa"/>
            <w:tcBorders>
              <w:top w:val="nil"/>
              <w:left w:val="single" w:sz="8" w:space="0" w:color="000000"/>
              <w:bottom w:val="nil"/>
              <w:right w:val="single" w:sz="8" w:space="0" w:color="000000"/>
            </w:tcBorders>
          </w:tcPr>
          <w:p w14:paraId="40EDFFFA" w14:textId="77777777" w:rsidR="00C216FC" w:rsidRPr="00E82458" w:rsidRDefault="00C216FC" w:rsidP="005D4764">
            <w:pPr>
              <w:pStyle w:val="TableParagraph"/>
              <w:spacing w:before="28"/>
              <w:ind w:left="5"/>
              <w:jc w:val="center"/>
              <w:rPr>
                <w:rFonts w:ascii="Arial" w:eastAsia="Source Sans Pro" w:hAnsi="Arial" w:cs="Arial"/>
                <w:color w:val="000000" w:themeColor="text1"/>
                <w:sz w:val="16"/>
                <w:szCs w:val="16"/>
              </w:rPr>
            </w:pPr>
            <w:r w:rsidRPr="00E82458">
              <w:rPr>
                <w:rFonts w:ascii="Arial" w:hAnsi="Arial" w:cs="Arial"/>
                <w:b/>
                <w:color w:val="000000" w:themeColor="text1"/>
                <w:w w:val="105"/>
                <w:sz w:val="16"/>
                <w:szCs w:val="16"/>
              </w:rPr>
              <w:t>4</w:t>
            </w:r>
          </w:p>
        </w:tc>
        <w:tc>
          <w:tcPr>
            <w:tcW w:w="1339" w:type="dxa"/>
            <w:tcBorders>
              <w:top w:val="nil"/>
              <w:left w:val="single" w:sz="8" w:space="0" w:color="000000"/>
              <w:bottom w:val="nil"/>
              <w:right w:val="single" w:sz="8" w:space="0" w:color="000000"/>
            </w:tcBorders>
          </w:tcPr>
          <w:p w14:paraId="0581E248" w14:textId="22873916" w:rsidR="00C216FC" w:rsidRPr="00DD6016" w:rsidRDefault="00C216FC" w:rsidP="005D4764">
            <w:pPr>
              <w:pStyle w:val="TableParagraph"/>
              <w:spacing w:before="28"/>
              <w:jc w:val="center"/>
              <w:rPr>
                <w:rFonts w:ascii="Arial" w:eastAsia="Source Sans Pro" w:hAnsi="Arial" w:cs="Arial"/>
                <w:color w:val="000000" w:themeColor="text1"/>
                <w:sz w:val="16"/>
                <w:szCs w:val="16"/>
              </w:rPr>
            </w:pPr>
            <w:r w:rsidRPr="00DD6016">
              <w:rPr>
                <w:color w:val="000000" w:themeColor="text1"/>
                <w:spacing w:val="-2"/>
                <w:sz w:val="16"/>
              </w:rPr>
              <w:t>£2</w:t>
            </w:r>
            <w:r w:rsidR="00DD6016" w:rsidRPr="00DD6016">
              <w:rPr>
                <w:color w:val="000000" w:themeColor="text1"/>
                <w:spacing w:val="-2"/>
                <w:sz w:val="16"/>
              </w:rPr>
              <w:t>7</w:t>
            </w:r>
            <w:r w:rsidRPr="00DD6016">
              <w:rPr>
                <w:color w:val="000000" w:themeColor="text1"/>
                <w:spacing w:val="-2"/>
                <w:sz w:val="16"/>
              </w:rPr>
              <w:t>,</w:t>
            </w:r>
            <w:r w:rsidR="00DD6016" w:rsidRPr="00DD6016">
              <w:rPr>
                <w:color w:val="000000" w:themeColor="text1"/>
                <w:spacing w:val="-2"/>
                <w:sz w:val="16"/>
              </w:rPr>
              <w:t>1</w:t>
            </w:r>
            <w:r w:rsidRPr="00DD6016">
              <w:rPr>
                <w:color w:val="000000" w:themeColor="text1"/>
                <w:spacing w:val="-2"/>
                <w:sz w:val="16"/>
              </w:rPr>
              <w:t>00</w:t>
            </w:r>
          </w:p>
        </w:tc>
        <w:tc>
          <w:tcPr>
            <w:tcW w:w="1734" w:type="dxa"/>
            <w:tcBorders>
              <w:top w:val="nil"/>
              <w:left w:val="single" w:sz="8" w:space="0" w:color="000000"/>
              <w:bottom w:val="nil"/>
              <w:right w:val="single" w:sz="8" w:space="0" w:color="000000"/>
            </w:tcBorders>
          </w:tcPr>
          <w:p w14:paraId="62D28A11" w14:textId="6D58439F" w:rsidR="00C216FC" w:rsidRPr="00DD6016" w:rsidRDefault="00C216FC" w:rsidP="005D4764">
            <w:pPr>
              <w:pStyle w:val="TableParagraph"/>
              <w:spacing w:before="28"/>
              <w:jc w:val="center"/>
              <w:rPr>
                <w:rFonts w:ascii="Arial" w:eastAsia="Source Sans Pro" w:hAnsi="Arial" w:cs="Arial"/>
                <w:color w:val="000000" w:themeColor="text1"/>
                <w:sz w:val="16"/>
                <w:szCs w:val="16"/>
              </w:rPr>
            </w:pPr>
            <w:r w:rsidRPr="00DD6016">
              <w:rPr>
                <w:color w:val="000000" w:themeColor="text1"/>
                <w:spacing w:val="-2"/>
                <w:sz w:val="16"/>
              </w:rPr>
              <w:t>£2</w:t>
            </w:r>
            <w:r w:rsidR="00DD6016" w:rsidRPr="00DD6016">
              <w:rPr>
                <w:color w:val="000000" w:themeColor="text1"/>
                <w:spacing w:val="-2"/>
                <w:sz w:val="16"/>
              </w:rPr>
              <w:t>6</w:t>
            </w:r>
            <w:r w:rsidRPr="00DD6016">
              <w:rPr>
                <w:color w:val="000000" w:themeColor="text1"/>
                <w:spacing w:val="-2"/>
                <w:sz w:val="16"/>
              </w:rPr>
              <w:t>,</w:t>
            </w:r>
            <w:r w:rsidR="00DD6016" w:rsidRPr="00DD6016">
              <w:rPr>
                <w:color w:val="000000" w:themeColor="text1"/>
                <w:spacing w:val="-2"/>
                <w:sz w:val="16"/>
              </w:rPr>
              <w:t>2</w:t>
            </w:r>
            <w:r w:rsidRPr="00DD6016">
              <w:rPr>
                <w:color w:val="000000" w:themeColor="text1"/>
                <w:spacing w:val="-2"/>
                <w:sz w:val="16"/>
              </w:rPr>
              <w:t>00</w:t>
            </w:r>
          </w:p>
        </w:tc>
        <w:tc>
          <w:tcPr>
            <w:tcW w:w="1843" w:type="dxa"/>
            <w:tcBorders>
              <w:top w:val="nil"/>
              <w:left w:val="single" w:sz="8" w:space="0" w:color="000000"/>
              <w:bottom w:val="nil"/>
              <w:right w:val="single" w:sz="8" w:space="0" w:color="000000"/>
            </w:tcBorders>
          </w:tcPr>
          <w:p w14:paraId="4207AAEE" w14:textId="663C7043" w:rsidR="00C216FC" w:rsidRPr="00E82458" w:rsidRDefault="00C216FC" w:rsidP="005D4764">
            <w:pPr>
              <w:pStyle w:val="TableParagraph"/>
              <w:spacing w:before="28"/>
              <w:jc w:val="center"/>
              <w:rPr>
                <w:rFonts w:ascii="Arial" w:eastAsia="Source Sans Pro" w:hAnsi="Arial" w:cs="Arial"/>
                <w:color w:val="000000" w:themeColor="text1"/>
                <w:sz w:val="16"/>
                <w:szCs w:val="16"/>
              </w:rPr>
            </w:pPr>
            <w:r w:rsidRPr="00E82458">
              <w:rPr>
                <w:color w:val="000000" w:themeColor="text1"/>
                <w:spacing w:val="-2"/>
                <w:sz w:val="16"/>
              </w:rPr>
              <w:t>£2</w:t>
            </w:r>
            <w:r w:rsidR="00E82458" w:rsidRPr="00E82458">
              <w:rPr>
                <w:color w:val="000000" w:themeColor="text1"/>
                <w:spacing w:val="-2"/>
                <w:sz w:val="16"/>
              </w:rPr>
              <w:t>5</w:t>
            </w:r>
            <w:r w:rsidRPr="00E82458">
              <w:rPr>
                <w:color w:val="000000" w:themeColor="text1"/>
                <w:spacing w:val="-2"/>
                <w:sz w:val="16"/>
              </w:rPr>
              <w:t>,500</w:t>
            </w:r>
          </w:p>
        </w:tc>
        <w:tc>
          <w:tcPr>
            <w:tcW w:w="1701" w:type="dxa"/>
            <w:tcBorders>
              <w:top w:val="nil"/>
              <w:left w:val="single" w:sz="8" w:space="0" w:color="000000"/>
              <w:bottom w:val="nil"/>
              <w:right w:val="single" w:sz="8" w:space="0" w:color="000000"/>
            </w:tcBorders>
          </w:tcPr>
          <w:p w14:paraId="3B3556DC" w14:textId="2D74860D" w:rsidR="00C216FC" w:rsidRPr="00E82458" w:rsidRDefault="00C216FC" w:rsidP="005D4764">
            <w:pPr>
              <w:pStyle w:val="TableParagraph"/>
              <w:spacing w:before="28"/>
              <w:jc w:val="center"/>
              <w:rPr>
                <w:rFonts w:ascii="Arial" w:eastAsia="Source Sans Pro" w:hAnsi="Arial" w:cs="Arial"/>
                <w:color w:val="000000" w:themeColor="text1"/>
                <w:sz w:val="16"/>
                <w:szCs w:val="16"/>
              </w:rPr>
            </w:pPr>
            <w:r w:rsidRPr="00E82458">
              <w:rPr>
                <w:color w:val="000000" w:themeColor="text1"/>
                <w:spacing w:val="-2"/>
                <w:sz w:val="16"/>
              </w:rPr>
              <w:t>£2</w:t>
            </w:r>
            <w:r w:rsidR="00E82458" w:rsidRPr="00E82458">
              <w:rPr>
                <w:color w:val="000000" w:themeColor="text1"/>
                <w:spacing w:val="-2"/>
                <w:sz w:val="16"/>
              </w:rPr>
              <w:t>4</w:t>
            </w:r>
            <w:r w:rsidRPr="00E82458">
              <w:rPr>
                <w:color w:val="000000" w:themeColor="text1"/>
                <w:spacing w:val="-2"/>
                <w:sz w:val="16"/>
              </w:rPr>
              <w:t>,</w:t>
            </w:r>
            <w:r w:rsidR="00E82458" w:rsidRPr="00E82458">
              <w:rPr>
                <w:color w:val="000000" w:themeColor="text1"/>
                <w:spacing w:val="-2"/>
                <w:sz w:val="16"/>
              </w:rPr>
              <w:t>6</w:t>
            </w:r>
            <w:r w:rsidRPr="00E82458">
              <w:rPr>
                <w:color w:val="000000" w:themeColor="text1"/>
                <w:spacing w:val="-2"/>
                <w:sz w:val="16"/>
              </w:rPr>
              <w:t>00</w:t>
            </w:r>
          </w:p>
        </w:tc>
      </w:tr>
      <w:tr w:rsidR="00C216FC" w:rsidRPr="001427F1" w14:paraId="68D15698" w14:textId="77777777" w:rsidTr="00C216FC">
        <w:trPr>
          <w:trHeight w:hRule="exact" w:val="281"/>
        </w:trPr>
        <w:tc>
          <w:tcPr>
            <w:tcW w:w="936" w:type="dxa"/>
            <w:tcBorders>
              <w:top w:val="nil"/>
              <w:left w:val="single" w:sz="8" w:space="0" w:color="000000"/>
              <w:bottom w:val="nil"/>
              <w:right w:val="single" w:sz="8" w:space="0" w:color="000000"/>
            </w:tcBorders>
          </w:tcPr>
          <w:p w14:paraId="47159B1C" w14:textId="77777777" w:rsidR="00C216FC" w:rsidRPr="00E82458" w:rsidRDefault="00C216FC" w:rsidP="005D4764">
            <w:pPr>
              <w:pStyle w:val="TableParagraph"/>
              <w:spacing w:before="28"/>
              <w:ind w:left="5"/>
              <w:jc w:val="center"/>
              <w:rPr>
                <w:rFonts w:ascii="Arial" w:eastAsia="Source Sans Pro" w:hAnsi="Arial" w:cs="Arial"/>
                <w:color w:val="000000" w:themeColor="text1"/>
                <w:sz w:val="16"/>
                <w:szCs w:val="16"/>
              </w:rPr>
            </w:pPr>
            <w:r w:rsidRPr="00E82458">
              <w:rPr>
                <w:rFonts w:ascii="Arial" w:hAnsi="Arial" w:cs="Arial"/>
                <w:b/>
                <w:color w:val="000000" w:themeColor="text1"/>
                <w:w w:val="105"/>
                <w:sz w:val="16"/>
                <w:szCs w:val="16"/>
              </w:rPr>
              <w:t>5</w:t>
            </w:r>
          </w:p>
        </w:tc>
        <w:tc>
          <w:tcPr>
            <w:tcW w:w="1339" w:type="dxa"/>
            <w:tcBorders>
              <w:top w:val="nil"/>
              <w:left w:val="single" w:sz="8" w:space="0" w:color="000000"/>
              <w:bottom w:val="nil"/>
              <w:right w:val="single" w:sz="8" w:space="0" w:color="000000"/>
            </w:tcBorders>
          </w:tcPr>
          <w:p w14:paraId="22EC589E" w14:textId="6C3C6147" w:rsidR="00C216FC" w:rsidRPr="00DD6016" w:rsidRDefault="00C216FC" w:rsidP="005D4764">
            <w:pPr>
              <w:pStyle w:val="TableParagraph"/>
              <w:spacing w:before="28"/>
              <w:jc w:val="center"/>
              <w:rPr>
                <w:rFonts w:ascii="Arial" w:eastAsia="Source Sans Pro" w:hAnsi="Arial" w:cs="Arial"/>
                <w:color w:val="000000" w:themeColor="text1"/>
                <w:sz w:val="16"/>
                <w:szCs w:val="16"/>
              </w:rPr>
            </w:pPr>
            <w:r w:rsidRPr="00DD6016">
              <w:rPr>
                <w:color w:val="000000" w:themeColor="text1"/>
                <w:spacing w:val="-2"/>
                <w:sz w:val="16"/>
              </w:rPr>
              <w:t>£2</w:t>
            </w:r>
            <w:r w:rsidR="00DD6016" w:rsidRPr="00DD6016">
              <w:rPr>
                <w:color w:val="000000" w:themeColor="text1"/>
                <w:spacing w:val="-2"/>
                <w:sz w:val="16"/>
              </w:rPr>
              <w:t>7</w:t>
            </w:r>
            <w:r w:rsidRPr="00DD6016">
              <w:rPr>
                <w:color w:val="000000" w:themeColor="text1"/>
                <w:spacing w:val="-2"/>
                <w:sz w:val="16"/>
              </w:rPr>
              <w:t>,</w:t>
            </w:r>
            <w:r w:rsidR="00DD6016" w:rsidRPr="00DD6016">
              <w:rPr>
                <w:color w:val="000000" w:themeColor="text1"/>
                <w:spacing w:val="-2"/>
                <w:sz w:val="16"/>
              </w:rPr>
              <w:t>7</w:t>
            </w:r>
            <w:r w:rsidRPr="00DD6016">
              <w:rPr>
                <w:color w:val="000000" w:themeColor="text1"/>
                <w:spacing w:val="-2"/>
                <w:sz w:val="16"/>
              </w:rPr>
              <w:t>00</w:t>
            </w:r>
          </w:p>
        </w:tc>
        <w:tc>
          <w:tcPr>
            <w:tcW w:w="1734" w:type="dxa"/>
            <w:tcBorders>
              <w:top w:val="nil"/>
              <w:left w:val="single" w:sz="8" w:space="0" w:color="000000"/>
              <w:bottom w:val="nil"/>
              <w:right w:val="single" w:sz="8" w:space="0" w:color="000000"/>
            </w:tcBorders>
          </w:tcPr>
          <w:p w14:paraId="601057E6" w14:textId="02B4103A" w:rsidR="00C216FC" w:rsidRPr="00DD6016" w:rsidRDefault="00C216FC" w:rsidP="005D4764">
            <w:pPr>
              <w:pStyle w:val="TableParagraph"/>
              <w:spacing w:before="28"/>
              <w:jc w:val="center"/>
              <w:rPr>
                <w:rFonts w:ascii="Arial" w:eastAsia="Source Sans Pro" w:hAnsi="Arial" w:cs="Arial"/>
                <w:color w:val="000000" w:themeColor="text1"/>
                <w:sz w:val="16"/>
                <w:szCs w:val="16"/>
              </w:rPr>
            </w:pPr>
            <w:r w:rsidRPr="00DD6016">
              <w:rPr>
                <w:color w:val="000000" w:themeColor="text1"/>
                <w:spacing w:val="-2"/>
                <w:sz w:val="16"/>
              </w:rPr>
              <w:t>£2</w:t>
            </w:r>
            <w:r w:rsidR="00DD6016" w:rsidRPr="00DD6016">
              <w:rPr>
                <w:color w:val="000000" w:themeColor="text1"/>
                <w:spacing w:val="-2"/>
                <w:sz w:val="16"/>
              </w:rPr>
              <w:t>6</w:t>
            </w:r>
            <w:r w:rsidRPr="00DD6016">
              <w:rPr>
                <w:color w:val="000000" w:themeColor="text1"/>
                <w:spacing w:val="-2"/>
                <w:sz w:val="16"/>
              </w:rPr>
              <w:t>,</w:t>
            </w:r>
            <w:r w:rsidR="00DD6016" w:rsidRPr="00DD6016">
              <w:rPr>
                <w:color w:val="000000" w:themeColor="text1"/>
                <w:spacing w:val="-2"/>
                <w:sz w:val="16"/>
              </w:rPr>
              <w:t>4</w:t>
            </w:r>
            <w:r w:rsidRPr="00DD6016">
              <w:rPr>
                <w:color w:val="000000" w:themeColor="text1"/>
                <w:spacing w:val="-2"/>
                <w:sz w:val="16"/>
              </w:rPr>
              <w:t>00</w:t>
            </w:r>
          </w:p>
        </w:tc>
        <w:tc>
          <w:tcPr>
            <w:tcW w:w="1843" w:type="dxa"/>
            <w:tcBorders>
              <w:top w:val="nil"/>
              <w:left w:val="single" w:sz="8" w:space="0" w:color="000000"/>
              <w:bottom w:val="nil"/>
              <w:right w:val="single" w:sz="8" w:space="0" w:color="000000"/>
            </w:tcBorders>
          </w:tcPr>
          <w:p w14:paraId="6E08FCBA" w14:textId="680A8801" w:rsidR="00C216FC" w:rsidRPr="00E82458" w:rsidRDefault="00C216FC" w:rsidP="005D4764">
            <w:pPr>
              <w:pStyle w:val="TableParagraph"/>
              <w:spacing w:before="28"/>
              <w:jc w:val="center"/>
              <w:rPr>
                <w:rFonts w:ascii="Arial" w:eastAsia="Source Sans Pro" w:hAnsi="Arial" w:cs="Arial"/>
                <w:color w:val="000000" w:themeColor="text1"/>
                <w:sz w:val="16"/>
                <w:szCs w:val="16"/>
              </w:rPr>
            </w:pPr>
            <w:r w:rsidRPr="00E82458">
              <w:rPr>
                <w:color w:val="000000" w:themeColor="text1"/>
                <w:spacing w:val="-2"/>
                <w:sz w:val="16"/>
              </w:rPr>
              <w:t>£2</w:t>
            </w:r>
            <w:r w:rsidR="00E82458" w:rsidRPr="00E82458">
              <w:rPr>
                <w:color w:val="000000" w:themeColor="text1"/>
                <w:spacing w:val="-2"/>
                <w:sz w:val="16"/>
              </w:rPr>
              <w:t>5</w:t>
            </w:r>
            <w:r w:rsidRPr="00E82458">
              <w:rPr>
                <w:color w:val="000000" w:themeColor="text1"/>
                <w:spacing w:val="-2"/>
                <w:sz w:val="16"/>
              </w:rPr>
              <w:t>,</w:t>
            </w:r>
            <w:r w:rsidR="00E82458" w:rsidRPr="00E82458">
              <w:rPr>
                <w:color w:val="000000" w:themeColor="text1"/>
                <w:spacing w:val="-2"/>
                <w:sz w:val="16"/>
              </w:rPr>
              <w:t>6</w:t>
            </w:r>
            <w:r w:rsidRPr="00E82458">
              <w:rPr>
                <w:color w:val="000000" w:themeColor="text1"/>
                <w:spacing w:val="-2"/>
                <w:sz w:val="16"/>
              </w:rPr>
              <w:t>00</w:t>
            </w:r>
          </w:p>
        </w:tc>
        <w:tc>
          <w:tcPr>
            <w:tcW w:w="1701" w:type="dxa"/>
            <w:tcBorders>
              <w:top w:val="nil"/>
              <w:left w:val="single" w:sz="8" w:space="0" w:color="000000"/>
              <w:bottom w:val="nil"/>
              <w:right w:val="single" w:sz="8" w:space="0" w:color="000000"/>
            </w:tcBorders>
          </w:tcPr>
          <w:p w14:paraId="69D4542B" w14:textId="21F2E87D" w:rsidR="00C216FC" w:rsidRPr="00E82458" w:rsidRDefault="00C216FC" w:rsidP="005D4764">
            <w:pPr>
              <w:pStyle w:val="TableParagraph"/>
              <w:spacing w:before="28"/>
              <w:jc w:val="center"/>
              <w:rPr>
                <w:rFonts w:ascii="Arial" w:eastAsia="Source Sans Pro" w:hAnsi="Arial" w:cs="Arial"/>
                <w:color w:val="000000" w:themeColor="text1"/>
                <w:sz w:val="16"/>
                <w:szCs w:val="16"/>
              </w:rPr>
            </w:pPr>
            <w:r w:rsidRPr="00E82458">
              <w:rPr>
                <w:color w:val="000000" w:themeColor="text1"/>
                <w:spacing w:val="-2"/>
                <w:sz w:val="16"/>
              </w:rPr>
              <w:t>£2</w:t>
            </w:r>
            <w:r w:rsidR="00E82458" w:rsidRPr="00E82458">
              <w:rPr>
                <w:color w:val="000000" w:themeColor="text1"/>
                <w:spacing w:val="-2"/>
                <w:sz w:val="16"/>
              </w:rPr>
              <w:t>4</w:t>
            </w:r>
            <w:r w:rsidRPr="00E82458">
              <w:rPr>
                <w:color w:val="000000" w:themeColor="text1"/>
                <w:spacing w:val="-2"/>
                <w:sz w:val="16"/>
              </w:rPr>
              <w:t>,</w:t>
            </w:r>
            <w:r w:rsidR="00E82458" w:rsidRPr="00E82458">
              <w:rPr>
                <w:color w:val="000000" w:themeColor="text1"/>
                <w:spacing w:val="-2"/>
                <w:sz w:val="16"/>
              </w:rPr>
              <w:t>5</w:t>
            </w:r>
            <w:r w:rsidRPr="00E82458">
              <w:rPr>
                <w:color w:val="000000" w:themeColor="text1"/>
                <w:spacing w:val="-2"/>
                <w:sz w:val="16"/>
              </w:rPr>
              <w:t>00</w:t>
            </w:r>
          </w:p>
        </w:tc>
      </w:tr>
      <w:tr w:rsidR="00C216FC" w:rsidRPr="001427F1" w14:paraId="5AC83A3B" w14:textId="77777777" w:rsidTr="00C216FC">
        <w:trPr>
          <w:trHeight w:hRule="exact" w:val="281"/>
        </w:trPr>
        <w:tc>
          <w:tcPr>
            <w:tcW w:w="936" w:type="dxa"/>
            <w:tcBorders>
              <w:top w:val="nil"/>
              <w:left w:val="single" w:sz="8" w:space="0" w:color="000000"/>
              <w:right w:val="single" w:sz="8" w:space="0" w:color="000000"/>
            </w:tcBorders>
          </w:tcPr>
          <w:p w14:paraId="41F3F41D" w14:textId="77777777" w:rsidR="00C216FC" w:rsidRPr="00DD6016" w:rsidRDefault="00C216FC" w:rsidP="005D4764">
            <w:pPr>
              <w:pStyle w:val="TableParagraph"/>
              <w:spacing w:before="28"/>
              <w:ind w:left="4"/>
              <w:jc w:val="center"/>
              <w:rPr>
                <w:rFonts w:ascii="Arial" w:eastAsia="Source Sans Pro" w:hAnsi="Arial" w:cs="Arial"/>
                <w:color w:val="000000" w:themeColor="text1"/>
                <w:sz w:val="16"/>
                <w:szCs w:val="16"/>
              </w:rPr>
            </w:pPr>
            <w:r w:rsidRPr="00DD6016">
              <w:rPr>
                <w:rFonts w:ascii="Arial" w:hAnsi="Arial" w:cs="Arial"/>
                <w:b/>
                <w:color w:val="000000" w:themeColor="text1"/>
                <w:spacing w:val="-1"/>
                <w:w w:val="105"/>
                <w:sz w:val="16"/>
                <w:szCs w:val="16"/>
              </w:rPr>
              <w:t>10</w:t>
            </w:r>
          </w:p>
        </w:tc>
        <w:tc>
          <w:tcPr>
            <w:tcW w:w="1339" w:type="dxa"/>
            <w:tcBorders>
              <w:top w:val="nil"/>
              <w:left w:val="single" w:sz="8" w:space="0" w:color="000000"/>
              <w:right w:val="single" w:sz="8" w:space="0" w:color="000000"/>
            </w:tcBorders>
          </w:tcPr>
          <w:p w14:paraId="46E8CFC8" w14:textId="0CD1C0B3" w:rsidR="00C216FC" w:rsidRPr="00DD6016" w:rsidRDefault="00C216FC" w:rsidP="005D4764">
            <w:pPr>
              <w:pStyle w:val="TableParagraph"/>
              <w:spacing w:before="28"/>
              <w:jc w:val="center"/>
              <w:rPr>
                <w:rFonts w:ascii="Arial" w:eastAsia="Source Sans Pro" w:hAnsi="Arial" w:cs="Arial"/>
                <w:color w:val="000000" w:themeColor="text1"/>
                <w:sz w:val="16"/>
                <w:szCs w:val="16"/>
              </w:rPr>
            </w:pPr>
            <w:r w:rsidRPr="00DD6016">
              <w:rPr>
                <w:color w:val="000000" w:themeColor="text1"/>
                <w:spacing w:val="-2"/>
                <w:sz w:val="16"/>
              </w:rPr>
              <w:t>£3</w:t>
            </w:r>
            <w:r w:rsidR="00DD6016" w:rsidRPr="00DD6016">
              <w:rPr>
                <w:color w:val="000000" w:themeColor="text1"/>
                <w:spacing w:val="-2"/>
                <w:sz w:val="16"/>
              </w:rPr>
              <w:t>0</w:t>
            </w:r>
            <w:r w:rsidRPr="00DD6016">
              <w:rPr>
                <w:color w:val="000000" w:themeColor="text1"/>
                <w:spacing w:val="-2"/>
                <w:sz w:val="16"/>
              </w:rPr>
              <w:t>,</w:t>
            </w:r>
            <w:r w:rsidR="00DD6016" w:rsidRPr="00DD6016">
              <w:rPr>
                <w:color w:val="000000" w:themeColor="text1"/>
                <w:spacing w:val="-2"/>
                <w:sz w:val="16"/>
              </w:rPr>
              <w:t>6</w:t>
            </w:r>
            <w:r w:rsidRPr="00DD6016">
              <w:rPr>
                <w:color w:val="000000" w:themeColor="text1"/>
                <w:spacing w:val="-2"/>
                <w:sz w:val="16"/>
              </w:rPr>
              <w:t>00</w:t>
            </w:r>
          </w:p>
        </w:tc>
        <w:tc>
          <w:tcPr>
            <w:tcW w:w="1734" w:type="dxa"/>
            <w:tcBorders>
              <w:top w:val="nil"/>
              <w:left w:val="single" w:sz="8" w:space="0" w:color="000000"/>
              <w:right w:val="single" w:sz="8" w:space="0" w:color="000000"/>
            </w:tcBorders>
          </w:tcPr>
          <w:p w14:paraId="6C77FDED" w14:textId="53893DA3" w:rsidR="00C216FC" w:rsidRPr="00DD6016" w:rsidRDefault="00C216FC" w:rsidP="005D4764">
            <w:pPr>
              <w:pStyle w:val="TableParagraph"/>
              <w:spacing w:before="28"/>
              <w:jc w:val="center"/>
              <w:rPr>
                <w:rFonts w:ascii="Arial" w:eastAsia="Source Sans Pro" w:hAnsi="Arial" w:cs="Arial"/>
                <w:color w:val="000000" w:themeColor="text1"/>
                <w:sz w:val="16"/>
                <w:szCs w:val="16"/>
              </w:rPr>
            </w:pPr>
            <w:r w:rsidRPr="00DD6016">
              <w:rPr>
                <w:color w:val="000000" w:themeColor="text1"/>
                <w:spacing w:val="-2"/>
                <w:sz w:val="16"/>
              </w:rPr>
              <w:t>£</w:t>
            </w:r>
            <w:r w:rsidR="00DD6016" w:rsidRPr="00DD6016">
              <w:rPr>
                <w:color w:val="000000" w:themeColor="text1"/>
                <w:spacing w:val="-2"/>
                <w:sz w:val="16"/>
              </w:rPr>
              <w:t>28,00</w:t>
            </w:r>
            <w:r w:rsidRPr="00DD6016">
              <w:rPr>
                <w:color w:val="000000" w:themeColor="text1"/>
                <w:spacing w:val="-2"/>
                <w:sz w:val="16"/>
              </w:rPr>
              <w:t>0</w:t>
            </w:r>
          </w:p>
        </w:tc>
        <w:tc>
          <w:tcPr>
            <w:tcW w:w="1843" w:type="dxa"/>
            <w:tcBorders>
              <w:top w:val="nil"/>
              <w:left w:val="single" w:sz="8" w:space="0" w:color="000000"/>
              <w:right w:val="single" w:sz="8" w:space="0" w:color="000000"/>
            </w:tcBorders>
          </w:tcPr>
          <w:p w14:paraId="525557DF" w14:textId="023CF5E0" w:rsidR="00C216FC" w:rsidRPr="00E82458" w:rsidRDefault="00C216FC" w:rsidP="005D4764">
            <w:pPr>
              <w:pStyle w:val="TableParagraph"/>
              <w:spacing w:before="28"/>
              <w:jc w:val="center"/>
              <w:rPr>
                <w:rFonts w:ascii="Arial" w:eastAsia="Source Sans Pro" w:hAnsi="Arial" w:cs="Arial"/>
                <w:color w:val="000000" w:themeColor="text1"/>
                <w:sz w:val="16"/>
                <w:szCs w:val="16"/>
              </w:rPr>
            </w:pPr>
            <w:r w:rsidRPr="00E82458">
              <w:rPr>
                <w:color w:val="000000" w:themeColor="text1"/>
                <w:spacing w:val="-2"/>
                <w:sz w:val="16"/>
              </w:rPr>
              <w:t>£</w:t>
            </w:r>
            <w:r w:rsidR="00E82458" w:rsidRPr="00E82458">
              <w:rPr>
                <w:color w:val="000000" w:themeColor="text1"/>
                <w:spacing w:val="-2"/>
                <w:sz w:val="16"/>
              </w:rPr>
              <w:t>26</w:t>
            </w:r>
            <w:r w:rsidRPr="00E82458">
              <w:rPr>
                <w:color w:val="000000" w:themeColor="text1"/>
                <w:spacing w:val="-2"/>
                <w:sz w:val="16"/>
              </w:rPr>
              <w:t>,</w:t>
            </w:r>
            <w:r w:rsidR="00E82458" w:rsidRPr="00E82458">
              <w:rPr>
                <w:color w:val="000000" w:themeColor="text1"/>
                <w:spacing w:val="-2"/>
                <w:sz w:val="16"/>
              </w:rPr>
              <w:t>2</w:t>
            </w:r>
            <w:r w:rsidRPr="00E82458">
              <w:rPr>
                <w:color w:val="000000" w:themeColor="text1"/>
                <w:spacing w:val="-2"/>
                <w:sz w:val="16"/>
              </w:rPr>
              <w:t>00</w:t>
            </w:r>
          </w:p>
        </w:tc>
        <w:tc>
          <w:tcPr>
            <w:tcW w:w="1701" w:type="dxa"/>
            <w:tcBorders>
              <w:top w:val="nil"/>
              <w:left w:val="single" w:sz="8" w:space="0" w:color="000000"/>
              <w:right w:val="single" w:sz="8" w:space="0" w:color="000000"/>
            </w:tcBorders>
          </w:tcPr>
          <w:p w14:paraId="2F18D9B5" w14:textId="77E90878" w:rsidR="00C216FC" w:rsidRPr="00E82458" w:rsidRDefault="00C216FC" w:rsidP="005D4764">
            <w:pPr>
              <w:pStyle w:val="TableParagraph"/>
              <w:spacing w:before="28"/>
              <w:jc w:val="center"/>
              <w:rPr>
                <w:rFonts w:ascii="Arial" w:eastAsia="Source Sans Pro" w:hAnsi="Arial" w:cs="Arial"/>
                <w:color w:val="000000" w:themeColor="text1"/>
                <w:sz w:val="16"/>
                <w:szCs w:val="16"/>
              </w:rPr>
            </w:pPr>
            <w:r w:rsidRPr="00E82458">
              <w:rPr>
                <w:color w:val="000000" w:themeColor="text1"/>
                <w:spacing w:val="-2"/>
                <w:sz w:val="16"/>
              </w:rPr>
              <w:t>£</w:t>
            </w:r>
            <w:r w:rsidR="00E82458" w:rsidRPr="00E82458">
              <w:rPr>
                <w:color w:val="000000" w:themeColor="text1"/>
                <w:spacing w:val="-2"/>
                <w:sz w:val="16"/>
              </w:rPr>
              <w:t>24</w:t>
            </w:r>
            <w:r w:rsidRPr="00E82458">
              <w:rPr>
                <w:color w:val="000000" w:themeColor="text1"/>
                <w:spacing w:val="-2"/>
                <w:sz w:val="16"/>
              </w:rPr>
              <w:t>,</w:t>
            </w:r>
            <w:r w:rsidR="00E82458" w:rsidRPr="00E82458">
              <w:rPr>
                <w:color w:val="000000" w:themeColor="text1"/>
                <w:spacing w:val="-2"/>
                <w:sz w:val="16"/>
              </w:rPr>
              <w:t>1</w:t>
            </w:r>
            <w:r w:rsidRPr="00E82458">
              <w:rPr>
                <w:color w:val="000000" w:themeColor="text1"/>
                <w:spacing w:val="-2"/>
                <w:sz w:val="16"/>
              </w:rPr>
              <w:t>00</w:t>
            </w:r>
          </w:p>
        </w:tc>
      </w:tr>
      <w:tr w:rsidR="00C216FC" w:rsidRPr="001427F1" w14:paraId="5B4E2FD8" w14:textId="77777777" w:rsidTr="00C216FC">
        <w:trPr>
          <w:trHeight w:hRule="exact" w:val="281"/>
        </w:trPr>
        <w:tc>
          <w:tcPr>
            <w:tcW w:w="936" w:type="dxa"/>
            <w:tcBorders>
              <w:top w:val="nil"/>
              <w:left w:val="single" w:sz="8" w:space="0" w:color="000000"/>
              <w:bottom w:val="nil"/>
              <w:right w:val="single" w:sz="8" w:space="0" w:color="000000"/>
            </w:tcBorders>
          </w:tcPr>
          <w:p w14:paraId="4E6EC96B" w14:textId="77777777" w:rsidR="00C216FC" w:rsidRPr="00DD6016" w:rsidRDefault="00C216FC" w:rsidP="005D4764">
            <w:pPr>
              <w:pStyle w:val="TableParagraph"/>
              <w:spacing w:before="28"/>
              <w:ind w:left="4"/>
              <w:jc w:val="center"/>
              <w:rPr>
                <w:rFonts w:ascii="Arial" w:eastAsia="Source Sans Pro" w:hAnsi="Arial" w:cs="Arial"/>
                <w:color w:val="000000" w:themeColor="text1"/>
                <w:sz w:val="16"/>
                <w:szCs w:val="16"/>
              </w:rPr>
            </w:pPr>
            <w:r w:rsidRPr="00DD6016">
              <w:rPr>
                <w:rFonts w:ascii="Arial" w:hAnsi="Arial" w:cs="Arial"/>
                <w:b/>
                <w:color w:val="000000" w:themeColor="text1"/>
                <w:spacing w:val="-1"/>
                <w:w w:val="105"/>
                <w:sz w:val="16"/>
                <w:szCs w:val="16"/>
              </w:rPr>
              <w:t>15</w:t>
            </w:r>
          </w:p>
        </w:tc>
        <w:tc>
          <w:tcPr>
            <w:tcW w:w="1339" w:type="dxa"/>
            <w:tcBorders>
              <w:top w:val="nil"/>
              <w:left w:val="single" w:sz="8" w:space="0" w:color="000000"/>
              <w:bottom w:val="nil"/>
              <w:right w:val="single" w:sz="8" w:space="0" w:color="000000"/>
            </w:tcBorders>
          </w:tcPr>
          <w:p w14:paraId="0B31DB80" w14:textId="7AA78FC7" w:rsidR="00C216FC" w:rsidRPr="00DD6016" w:rsidRDefault="00C216FC" w:rsidP="005D4764">
            <w:pPr>
              <w:pStyle w:val="TableParagraph"/>
              <w:spacing w:before="28"/>
              <w:jc w:val="center"/>
              <w:rPr>
                <w:rFonts w:ascii="Arial" w:eastAsia="Source Sans Pro" w:hAnsi="Arial" w:cs="Arial"/>
                <w:color w:val="000000" w:themeColor="text1"/>
                <w:sz w:val="16"/>
                <w:szCs w:val="16"/>
              </w:rPr>
            </w:pPr>
            <w:r w:rsidRPr="00DD6016">
              <w:rPr>
                <w:color w:val="000000" w:themeColor="text1"/>
                <w:spacing w:val="-2"/>
                <w:sz w:val="16"/>
              </w:rPr>
              <w:t>£3</w:t>
            </w:r>
            <w:r w:rsidR="00DD6016" w:rsidRPr="00DD6016">
              <w:rPr>
                <w:color w:val="000000" w:themeColor="text1"/>
                <w:spacing w:val="-2"/>
                <w:sz w:val="16"/>
              </w:rPr>
              <w:t>3</w:t>
            </w:r>
            <w:r w:rsidRPr="00DD6016">
              <w:rPr>
                <w:color w:val="000000" w:themeColor="text1"/>
                <w:spacing w:val="-2"/>
                <w:sz w:val="16"/>
              </w:rPr>
              <w:t>,</w:t>
            </w:r>
            <w:r w:rsidR="00DD6016" w:rsidRPr="00DD6016">
              <w:rPr>
                <w:color w:val="000000" w:themeColor="text1"/>
                <w:spacing w:val="-2"/>
                <w:sz w:val="16"/>
              </w:rPr>
              <w:t>9</w:t>
            </w:r>
            <w:r w:rsidRPr="00DD6016">
              <w:rPr>
                <w:color w:val="000000" w:themeColor="text1"/>
                <w:spacing w:val="-2"/>
                <w:sz w:val="16"/>
              </w:rPr>
              <w:t>00</w:t>
            </w:r>
          </w:p>
        </w:tc>
        <w:tc>
          <w:tcPr>
            <w:tcW w:w="1734" w:type="dxa"/>
            <w:tcBorders>
              <w:top w:val="nil"/>
              <w:left w:val="single" w:sz="8" w:space="0" w:color="000000"/>
              <w:bottom w:val="nil"/>
              <w:right w:val="single" w:sz="8" w:space="0" w:color="000000"/>
            </w:tcBorders>
          </w:tcPr>
          <w:p w14:paraId="12BE77DF" w14:textId="5B5E2F24" w:rsidR="00C216FC" w:rsidRPr="00DD6016" w:rsidRDefault="00C216FC" w:rsidP="005D4764">
            <w:pPr>
              <w:pStyle w:val="TableParagraph"/>
              <w:spacing w:before="28"/>
              <w:jc w:val="center"/>
              <w:rPr>
                <w:rFonts w:ascii="Arial" w:eastAsia="Source Sans Pro" w:hAnsi="Arial" w:cs="Arial"/>
                <w:color w:val="000000" w:themeColor="text1"/>
                <w:sz w:val="16"/>
                <w:szCs w:val="16"/>
              </w:rPr>
            </w:pPr>
            <w:r w:rsidRPr="00DD6016">
              <w:rPr>
                <w:color w:val="000000" w:themeColor="text1"/>
                <w:spacing w:val="-2"/>
                <w:sz w:val="16"/>
              </w:rPr>
              <w:t>£</w:t>
            </w:r>
            <w:r w:rsidR="00DD6016" w:rsidRPr="00DD6016">
              <w:rPr>
                <w:color w:val="000000" w:themeColor="text1"/>
                <w:spacing w:val="-2"/>
                <w:sz w:val="16"/>
              </w:rPr>
              <w:t>29</w:t>
            </w:r>
            <w:r w:rsidRPr="00DD6016">
              <w:rPr>
                <w:color w:val="000000" w:themeColor="text1"/>
                <w:spacing w:val="-2"/>
                <w:sz w:val="16"/>
              </w:rPr>
              <w:t>,</w:t>
            </w:r>
            <w:r w:rsidR="00DD6016" w:rsidRPr="00DD6016">
              <w:rPr>
                <w:color w:val="000000" w:themeColor="text1"/>
                <w:spacing w:val="-2"/>
                <w:sz w:val="16"/>
              </w:rPr>
              <w:t>6</w:t>
            </w:r>
            <w:r w:rsidRPr="00DD6016">
              <w:rPr>
                <w:color w:val="000000" w:themeColor="text1"/>
                <w:spacing w:val="-2"/>
                <w:sz w:val="16"/>
              </w:rPr>
              <w:t>00</w:t>
            </w:r>
          </w:p>
        </w:tc>
        <w:tc>
          <w:tcPr>
            <w:tcW w:w="1843" w:type="dxa"/>
            <w:tcBorders>
              <w:top w:val="nil"/>
              <w:left w:val="single" w:sz="8" w:space="0" w:color="000000"/>
              <w:bottom w:val="nil"/>
              <w:right w:val="single" w:sz="8" w:space="0" w:color="000000"/>
            </w:tcBorders>
          </w:tcPr>
          <w:p w14:paraId="30096C98" w14:textId="53BFB136" w:rsidR="00C216FC" w:rsidRPr="00E82458" w:rsidRDefault="00C216FC" w:rsidP="005D4764">
            <w:pPr>
              <w:pStyle w:val="TableParagraph"/>
              <w:spacing w:before="28"/>
              <w:jc w:val="center"/>
              <w:rPr>
                <w:rFonts w:ascii="Arial" w:eastAsia="Source Sans Pro" w:hAnsi="Arial" w:cs="Arial"/>
                <w:color w:val="000000" w:themeColor="text1"/>
                <w:sz w:val="16"/>
                <w:szCs w:val="16"/>
              </w:rPr>
            </w:pPr>
            <w:r w:rsidRPr="00E82458">
              <w:rPr>
                <w:color w:val="000000" w:themeColor="text1"/>
                <w:spacing w:val="-2"/>
                <w:sz w:val="16"/>
              </w:rPr>
              <w:t>£</w:t>
            </w:r>
            <w:r w:rsidR="00E82458" w:rsidRPr="00E82458">
              <w:rPr>
                <w:color w:val="000000" w:themeColor="text1"/>
                <w:spacing w:val="-2"/>
                <w:sz w:val="16"/>
              </w:rPr>
              <w:t>26</w:t>
            </w:r>
            <w:r w:rsidRPr="00E82458">
              <w:rPr>
                <w:color w:val="000000" w:themeColor="text1"/>
                <w:spacing w:val="-2"/>
                <w:sz w:val="16"/>
              </w:rPr>
              <w:t>,900</w:t>
            </w:r>
          </w:p>
        </w:tc>
        <w:tc>
          <w:tcPr>
            <w:tcW w:w="1701" w:type="dxa"/>
            <w:tcBorders>
              <w:top w:val="nil"/>
              <w:left w:val="single" w:sz="8" w:space="0" w:color="000000"/>
              <w:bottom w:val="nil"/>
              <w:right w:val="single" w:sz="8" w:space="0" w:color="000000"/>
            </w:tcBorders>
          </w:tcPr>
          <w:p w14:paraId="7497E11A" w14:textId="3C195749" w:rsidR="00C216FC" w:rsidRPr="00E82458" w:rsidRDefault="00C216FC" w:rsidP="005D4764">
            <w:pPr>
              <w:pStyle w:val="TableParagraph"/>
              <w:spacing w:before="28"/>
              <w:jc w:val="center"/>
              <w:rPr>
                <w:rFonts w:ascii="Arial" w:eastAsia="Source Sans Pro" w:hAnsi="Arial" w:cs="Arial"/>
                <w:color w:val="000000" w:themeColor="text1"/>
                <w:sz w:val="16"/>
                <w:szCs w:val="16"/>
              </w:rPr>
            </w:pPr>
            <w:r w:rsidRPr="00E82458">
              <w:rPr>
                <w:color w:val="000000" w:themeColor="text1"/>
                <w:spacing w:val="-2"/>
                <w:sz w:val="16"/>
              </w:rPr>
              <w:t>£</w:t>
            </w:r>
            <w:r w:rsidR="00E82458" w:rsidRPr="00E82458">
              <w:rPr>
                <w:color w:val="000000" w:themeColor="text1"/>
                <w:spacing w:val="-2"/>
                <w:sz w:val="16"/>
              </w:rPr>
              <w:t>23</w:t>
            </w:r>
            <w:r w:rsidRPr="00E82458">
              <w:rPr>
                <w:color w:val="000000" w:themeColor="text1"/>
                <w:spacing w:val="-2"/>
                <w:sz w:val="16"/>
              </w:rPr>
              <w:t>,</w:t>
            </w:r>
            <w:r w:rsidR="00E82458" w:rsidRPr="00E82458">
              <w:rPr>
                <w:color w:val="000000" w:themeColor="text1"/>
                <w:spacing w:val="-2"/>
                <w:sz w:val="16"/>
              </w:rPr>
              <w:t>6</w:t>
            </w:r>
            <w:r w:rsidRPr="00E82458">
              <w:rPr>
                <w:color w:val="000000" w:themeColor="text1"/>
                <w:spacing w:val="-2"/>
                <w:sz w:val="16"/>
              </w:rPr>
              <w:t>00</w:t>
            </w:r>
          </w:p>
        </w:tc>
      </w:tr>
      <w:tr w:rsidR="00C216FC" w:rsidRPr="001427F1" w14:paraId="0D9DA0D0" w14:textId="77777777" w:rsidTr="00C216FC">
        <w:trPr>
          <w:trHeight w:hRule="exact" w:val="281"/>
        </w:trPr>
        <w:tc>
          <w:tcPr>
            <w:tcW w:w="936" w:type="dxa"/>
            <w:tcBorders>
              <w:top w:val="nil"/>
              <w:left w:val="single" w:sz="8" w:space="0" w:color="000000"/>
              <w:bottom w:val="nil"/>
              <w:right w:val="single" w:sz="8" w:space="0" w:color="000000"/>
            </w:tcBorders>
          </w:tcPr>
          <w:p w14:paraId="618E4A68" w14:textId="77777777" w:rsidR="00C216FC" w:rsidRPr="00DD6016" w:rsidRDefault="00C216FC" w:rsidP="005D4764">
            <w:pPr>
              <w:pStyle w:val="TableParagraph"/>
              <w:spacing w:before="28"/>
              <w:ind w:left="4"/>
              <w:jc w:val="center"/>
              <w:rPr>
                <w:rFonts w:ascii="Arial" w:hAnsi="Arial" w:cs="Arial"/>
                <w:b/>
                <w:color w:val="000000" w:themeColor="text1"/>
                <w:spacing w:val="-1"/>
                <w:w w:val="105"/>
                <w:sz w:val="16"/>
                <w:szCs w:val="16"/>
              </w:rPr>
            </w:pPr>
            <w:r w:rsidRPr="00DD6016">
              <w:rPr>
                <w:rFonts w:ascii="Arial" w:hAnsi="Arial" w:cs="Arial"/>
                <w:b/>
                <w:color w:val="000000" w:themeColor="text1"/>
                <w:spacing w:val="-1"/>
                <w:w w:val="105"/>
                <w:sz w:val="16"/>
                <w:szCs w:val="16"/>
              </w:rPr>
              <w:t>20</w:t>
            </w:r>
          </w:p>
        </w:tc>
        <w:tc>
          <w:tcPr>
            <w:tcW w:w="1339" w:type="dxa"/>
            <w:tcBorders>
              <w:top w:val="nil"/>
              <w:left w:val="single" w:sz="8" w:space="0" w:color="000000"/>
              <w:bottom w:val="nil"/>
              <w:right w:val="single" w:sz="8" w:space="0" w:color="000000"/>
            </w:tcBorders>
          </w:tcPr>
          <w:p w14:paraId="2AC968ED" w14:textId="7E525401" w:rsidR="00C216FC" w:rsidRPr="00DD6016" w:rsidRDefault="00C216FC" w:rsidP="005D4764">
            <w:pPr>
              <w:pStyle w:val="TableParagraph"/>
              <w:spacing w:before="28"/>
              <w:jc w:val="center"/>
              <w:rPr>
                <w:color w:val="000000" w:themeColor="text1"/>
                <w:spacing w:val="-2"/>
                <w:sz w:val="16"/>
              </w:rPr>
            </w:pPr>
            <w:r w:rsidRPr="00DD6016">
              <w:rPr>
                <w:color w:val="000000" w:themeColor="text1"/>
                <w:spacing w:val="-2"/>
                <w:sz w:val="16"/>
              </w:rPr>
              <w:t>£</w:t>
            </w:r>
            <w:r w:rsidR="00DD6016" w:rsidRPr="00DD6016">
              <w:rPr>
                <w:color w:val="000000" w:themeColor="text1"/>
                <w:spacing w:val="-2"/>
                <w:sz w:val="16"/>
              </w:rPr>
              <w:t>37</w:t>
            </w:r>
            <w:r w:rsidRPr="00DD6016">
              <w:rPr>
                <w:color w:val="000000" w:themeColor="text1"/>
                <w:spacing w:val="-2"/>
                <w:sz w:val="16"/>
              </w:rPr>
              <w:t>,</w:t>
            </w:r>
            <w:r w:rsidR="00DD6016" w:rsidRPr="00DD6016">
              <w:rPr>
                <w:color w:val="000000" w:themeColor="text1"/>
                <w:spacing w:val="-2"/>
                <w:sz w:val="16"/>
              </w:rPr>
              <w:t>5</w:t>
            </w:r>
            <w:r w:rsidRPr="00DD6016">
              <w:rPr>
                <w:color w:val="000000" w:themeColor="text1"/>
                <w:spacing w:val="-2"/>
                <w:sz w:val="16"/>
              </w:rPr>
              <w:t>00</w:t>
            </w:r>
          </w:p>
        </w:tc>
        <w:tc>
          <w:tcPr>
            <w:tcW w:w="1734" w:type="dxa"/>
            <w:tcBorders>
              <w:top w:val="nil"/>
              <w:left w:val="single" w:sz="8" w:space="0" w:color="000000"/>
              <w:bottom w:val="nil"/>
              <w:right w:val="single" w:sz="8" w:space="0" w:color="000000"/>
            </w:tcBorders>
          </w:tcPr>
          <w:p w14:paraId="0BCB0A37" w14:textId="4DDC5045" w:rsidR="00C216FC" w:rsidRPr="00DD6016" w:rsidRDefault="00C216FC" w:rsidP="005D4764">
            <w:pPr>
              <w:pStyle w:val="TableParagraph"/>
              <w:spacing w:before="28"/>
              <w:jc w:val="center"/>
              <w:rPr>
                <w:color w:val="000000" w:themeColor="text1"/>
                <w:spacing w:val="-2"/>
                <w:sz w:val="16"/>
              </w:rPr>
            </w:pPr>
            <w:r w:rsidRPr="00DD6016">
              <w:rPr>
                <w:color w:val="000000" w:themeColor="text1"/>
                <w:spacing w:val="-2"/>
                <w:sz w:val="16"/>
              </w:rPr>
              <w:t>£</w:t>
            </w:r>
            <w:r w:rsidR="00DD6016" w:rsidRPr="00DD6016">
              <w:rPr>
                <w:color w:val="000000" w:themeColor="text1"/>
                <w:spacing w:val="-2"/>
                <w:sz w:val="16"/>
              </w:rPr>
              <w:t>31</w:t>
            </w:r>
            <w:r w:rsidRPr="00DD6016">
              <w:rPr>
                <w:color w:val="000000" w:themeColor="text1"/>
                <w:spacing w:val="-2"/>
                <w:sz w:val="16"/>
              </w:rPr>
              <w:t>,</w:t>
            </w:r>
            <w:r w:rsidR="00DD6016" w:rsidRPr="00DD6016">
              <w:rPr>
                <w:color w:val="000000" w:themeColor="text1"/>
                <w:spacing w:val="-2"/>
                <w:sz w:val="16"/>
              </w:rPr>
              <w:t>3</w:t>
            </w:r>
            <w:r w:rsidRPr="00DD6016">
              <w:rPr>
                <w:color w:val="000000" w:themeColor="text1"/>
                <w:spacing w:val="-2"/>
                <w:sz w:val="16"/>
              </w:rPr>
              <w:t>00</w:t>
            </w:r>
          </w:p>
        </w:tc>
        <w:tc>
          <w:tcPr>
            <w:tcW w:w="1843" w:type="dxa"/>
            <w:tcBorders>
              <w:top w:val="nil"/>
              <w:left w:val="single" w:sz="8" w:space="0" w:color="000000"/>
              <w:bottom w:val="nil"/>
              <w:right w:val="single" w:sz="8" w:space="0" w:color="000000"/>
            </w:tcBorders>
          </w:tcPr>
          <w:p w14:paraId="0753A9B7" w14:textId="7E6F6691" w:rsidR="00C216FC" w:rsidRPr="00E82458" w:rsidRDefault="00C216FC" w:rsidP="005D4764">
            <w:pPr>
              <w:pStyle w:val="TableParagraph"/>
              <w:spacing w:before="28"/>
              <w:jc w:val="center"/>
              <w:rPr>
                <w:color w:val="000000" w:themeColor="text1"/>
                <w:spacing w:val="-2"/>
                <w:sz w:val="16"/>
              </w:rPr>
            </w:pPr>
            <w:r w:rsidRPr="00E82458">
              <w:rPr>
                <w:color w:val="000000" w:themeColor="text1"/>
                <w:spacing w:val="-2"/>
                <w:sz w:val="16"/>
              </w:rPr>
              <w:t>£</w:t>
            </w:r>
            <w:r w:rsidR="00E82458" w:rsidRPr="00E82458">
              <w:rPr>
                <w:color w:val="000000" w:themeColor="text1"/>
                <w:spacing w:val="-2"/>
                <w:sz w:val="16"/>
              </w:rPr>
              <w:t>27</w:t>
            </w:r>
            <w:r w:rsidRPr="00E82458">
              <w:rPr>
                <w:color w:val="000000" w:themeColor="text1"/>
                <w:spacing w:val="-2"/>
                <w:sz w:val="16"/>
              </w:rPr>
              <w:t>,</w:t>
            </w:r>
            <w:r w:rsidR="00E82458" w:rsidRPr="00E82458">
              <w:rPr>
                <w:color w:val="000000" w:themeColor="text1"/>
                <w:spacing w:val="-2"/>
                <w:sz w:val="16"/>
              </w:rPr>
              <w:t>6</w:t>
            </w:r>
            <w:r w:rsidRPr="00E82458">
              <w:rPr>
                <w:color w:val="000000" w:themeColor="text1"/>
                <w:spacing w:val="-2"/>
                <w:sz w:val="16"/>
              </w:rPr>
              <w:t>00</w:t>
            </w:r>
          </w:p>
        </w:tc>
        <w:tc>
          <w:tcPr>
            <w:tcW w:w="1701" w:type="dxa"/>
            <w:tcBorders>
              <w:top w:val="nil"/>
              <w:left w:val="single" w:sz="8" w:space="0" w:color="000000"/>
              <w:bottom w:val="nil"/>
              <w:right w:val="single" w:sz="8" w:space="0" w:color="000000"/>
            </w:tcBorders>
          </w:tcPr>
          <w:p w14:paraId="2FA27AC4" w14:textId="11C09E35" w:rsidR="00C216FC" w:rsidRPr="00E82458" w:rsidRDefault="00C216FC" w:rsidP="005D4764">
            <w:pPr>
              <w:pStyle w:val="TableParagraph"/>
              <w:spacing w:before="28"/>
              <w:jc w:val="center"/>
              <w:rPr>
                <w:color w:val="000000" w:themeColor="text1"/>
                <w:spacing w:val="-2"/>
                <w:sz w:val="16"/>
              </w:rPr>
            </w:pPr>
            <w:r w:rsidRPr="00E82458">
              <w:rPr>
                <w:color w:val="000000" w:themeColor="text1"/>
                <w:spacing w:val="-2"/>
                <w:sz w:val="16"/>
              </w:rPr>
              <w:t>£</w:t>
            </w:r>
            <w:r w:rsidR="00E82458" w:rsidRPr="00E82458">
              <w:rPr>
                <w:color w:val="000000" w:themeColor="text1"/>
                <w:spacing w:val="-2"/>
                <w:sz w:val="16"/>
              </w:rPr>
              <w:t>23</w:t>
            </w:r>
            <w:r w:rsidRPr="00E82458">
              <w:rPr>
                <w:color w:val="000000" w:themeColor="text1"/>
                <w:spacing w:val="-2"/>
                <w:sz w:val="16"/>
              </w:rPr>
              <w:t>,</w:t>
            </w:r>
            <w:r w:rsidR="00E82458" w:rsidRPr="00E82458">
              <w:rPr>
                <w:color w:val="000000" w:themeColor="text1"/>
                <w:spacing w:val="-2"/>
                <w:sz w:val="16"/>
              </w:rPr>
              <w:t>1</w:t>
            </w:r>
            <w:r w:rsidRPr="00E82458">
              <w:rPr>
                <w:color w:val="000000" w:themeColor="text1"/>
                <w:spacing w:val="-2"/>
                <w:sz w:val="16"/>
              </w:rPr>
              <w:t>00</w:t>
            </w:r>
          </w:p>
        </w:tc>
      </w:tr>
      <w:tr w:rsidR="00C216FC" w:rsidRPr="001427F1" w14:paraId="1B9913CC" w14:textId="77777777" w:rsidTr="00C216FC">
        <w:trPr>
          <w:trHeight w:hRule="exact" w:val="281"/>
        </w:trPr>
        <w:tc>
          <w:tcPr>
            <w:tcW w:w="936" w:type="dxa"/>
            <w:tcBorders>
              <w:top w:val="nil"/>
              <w:left w:val="single" w:sz="8" w:space="0" w:color="000000"/>
              <w:right w:val="single" w:sz="8" w:space="0" w:color="000000"/>
            </w:tcBorders>
          </w:tcPr>
          <w:p w14:paraId="732F0388" w14:textId="77777777" w:rsidR="00C216FC" w:rsidRPr="00DD6016" w:rsidRDefault="00C216FC" w:rsidP="005D4764">
            <w:pPr>
              <w:pStyle w:val="TableParagraph"/>
              <w:spacing w:before="28"/>
              <w:ind w:left="4"/>
              <w:jc w:val="center"/>
              <w:rPr>
                <w:rFonts w:ascii="Arial" w:hAnsi="Arial" w:cs="Arial"/>
                <w:b/>
                <w:color w:val="000000" w:themeColor="text1"/>
                <w:spacing w:val="-1"/>
                <w:w w:val="105"/>
                <w:sz w:val="16"/>
                <w:szCs w:val="16"/>
              </w:rPr>
            </w:pPr>
            <w:r w:rsidRPr="00DD6016">
              <w:rPr>
                <w:rFonts w:ascii="Arial" w:hAnsi="Arial" w:cs="Arial"/>
                <w:b/>
                <w:color w:val="000000" w:themeColor="text1"/>
                <w:spacing w:val="-1"/>
                <w:w w:val="105"/>
                <w:sz w:val="16"/>
                <w:szCs w:val="16"/>
              </w:rPr>
              <w:t>25</w:t>
            </w:r>
          </w:p>
        </w:tc>
        <w:tc>
          <w:tcPr>
            <w:tcW w:w="1339" w:type="dxa"/>
            <w:tcBorders>
              <w:top w:val="nil"/>
              <w:left w:val="single" w:sz="8" w:space="0" w:color="000000"/>
              <w:right w:val="single" w:sz="8" w:space="0" w:color="000000"/>
            </w:tcBorders>
          </w:tcPr>
          <w:p w14:paraId="6DA76C8B" w14:textId="3BCA0916" w:rsidR="00C216FC" w:rsidRPr="00DD6016" w:rsidRDefault="00C216FC" w:rsidP="005D4764">
            <w:pPr>
              <w:pStyle w:val="TableParagraph"/>
              <w:spacing w:before="28"/>
              <w:jc w:val="center"/>
              <w:rPr>
                <w:color w:val="000000" w:themeColor="text1"/>
                <w:spacing w:val="-2"/>
                <w:sz w:val="16"/>
              </w:rPr>
            </w:pPr>
            <w:r w:rsidRPr="00DD6016">
              <w:rPr>
                <w:color w:val="000000" w:themeColor="text1"/>
                <w:spacing w:val="-2"/>
                <w:sz w:val="16"/>
              </w:rPr>
              <w:t>£</w:t>
            </w:r>
            <w:r w:rsidR="00DD6016" w:rsidRPr="00DD6016">
              <w:rPr>
                <w:color w:val="000000" w:themeColor="text1"/>
                <w:spacing w:val="-2"/>
                <w:sz w:val="16"/>
              </w:rPr>
              <w:t>41</w:t>
            </w:r>
            <w:r w:rsidRPr="00DD6016">
              <w:rPr>
                <w:color w:val="000000" w:themeColor="text1"/>
                <w:spacing w:val="-2"/>
                <w:sz w:val="16"/>
              </w:rPr>
              <w:t>,</w:t>
            </w:r>
            <w:r w:rsidR="00DD6016" w:rsidRPr="00DD6016">
              <w:rPr>
                <w:color w:val="000000" w:themeColor="text1"/>
                <w:spacing w:val="-2"/>
                <w:sz w:val="16"/>
              </w:rPr>
              <w:t>5</w:t>
            </w:r>
            <w:r w:rsidRPr="00DD6016">
              <w:rPr>
                <w:color w:val="000000" w:themeColor="text1"/>
                <w:spacing w:val="-2"/>
                <w:sz w:val="16"/>
              </w:rPr>
              <w:t>00</w:t>
            </w:r>
          </w:p>
        </w:tc>
        <w:tc>
          <w:tcPr>
            <w:tcW w:w="1734" w:type="dxa"/>
            <w:tcBorders>
              <w:top w:val="nil"/>
              <w:left w:val="single" w:sz="8" w:space="0" w:color="000000"/>
              <w:right w:val="single" w:sz="8" w:space="0" w:color="000000"/>
            </w:tcBorders>
          </w:tcPr>
          <w:p w14:paraId="4AFBFF51" w14:textId="3E14A623" w:rsidR="00C216FC" w:rsidRPr="00DD6016" w:rsidRDefault="00C216FC" w:rsidP="005D4764">
            <w:pPr>
              <w:pStyle w:val="TableParagraph"/>
              <w:spacing w:before="28"/>
              <w:jc w:val="center"/>
              <w:rPr>
                <w:color w:val="000000" w:themeColor="text1"/>
                <w:spacing w:val="-2"/>
                <w:sz w:val="16"/>
              </w:rPr>
            </w:pPr>
            <w:r w:rsidRPr="00DD6016">
              <w:rPr>
                <w:color w:val="000000" w:themeColor="text1"/>
                <w:spacing w:val="-2"/>
                <w:sz w:val="16"/>
              </w:rPr>
              <w:t>£</w:t>
            </w:r>
            <w:r w:rsidR="00DD6016" w:rsidRPr="00DD6016">
              <w:rPr>
                <w:color w:val="000000" w:themeColor="text1"/>
                <w:spacing w:val="-2"/>
                <w:sz w:val="16"/>
              </w:rPr>
              <w:t>33</w:t>
            </w:r>
            <w:r w:rsidRPr="00DD6016">
              <w:rPr>
                <w:color w:val="000000" w:themeColor="text1"/>
                <w:spacing w:val="-2"/>
                <w:sz w:val="16"/>
              </w:rPr>
              <w:t>,</w:t>
            </w:r>
            <w:r w:rsidR="00DD6016" w:rsidRPr="00DD6016">
              <w:rPr>
                <w:color w:val="000000" w:themeColor="text1"/>
                <w:spacing w:val="-2"/>
                <w:sz w:val="16"/>
              </w:rPr>
              <w:t>1</w:t>
            </w:r>
            <w:r w:rsidRPr="00DD6016">
              <w:rPr>
                <w:color w:val="000000" w:themeColor="text1"/>
                <w:spacing w:val="-2"/>
                <w:sz w:val="16"/>
              </w:rPr>
              <w:t>00</w:t>
            </w:r>
          </w:p>
        </w:tc>
        <w:tc>
          <w:tcPr>
            <w:tcW w:w="1843" w:type="dxa"/>
            <w:tcBorders>
              <w:top w:val="nil"/>
              <w:left w:val="single" w:sz="8" w:space="0" w:color="000000"/>
              <w:right w:val="single" w:sz="8" w:space="0" w:color="000000"/>
            </w:tcBorders>
          </w:tcPr>
          <w:p w14:paraId="407E92C7" w14:textId="33619D36" w:rsidR="00C216FC" w:rsidRPr="00E82458" w:rsidRDefault="00C216FC" w:rsidP="005D4764">
            <w:pPr>
              <w:pStyle w:val="TableParagraph"/>
              <w:spacing w:before="28"/>
              <w:jc w:val="center"/>
              <w:rPr>
                <w:color w:val="000000" w:themeColor="text1"/>
                <w:spacing w:val="-2"/>
                <w:sz w:val="16"/>
              </w:rPr>
            </w:pPr>
            <w:r w:rsidRPr="00E82458">
              <w:rPr>
                <w:color w:val="000000" w:themeColor="text1"/>
                <w:spacing w:val="-2"/>
                <w:sz w:val="16"/>
              </w:rPr>
              <w:t>£</w:t>
            </w:r>
            <w:r w:rsidR="00E82458" w:rsidRPr="00E82458">
              <w:rPr>
                <w:color w:val="000000" w:themeColor="text1"/>
                <w:spacing w:val="-2"/>
                <w:sz w:val="16"/>
              </w:rPr>
              <w:t>28</w:t>
            </w:r>
            <w:r w:rsidRPr="00E82458">
              <w:rPr>
                <w:color w:val="000000" w:themeColor="text1"/>
                <w:spacing w:val="-2"/>
                <w:sz w:val="16"/>
              </w:rPr>
              <w:t>,</w:t>
            </w:r>
            <w:r w:rsidR="00E82458" w:rsidRPr="00E82458">
              <w:rPr>
                <w:color w:val="000000" w:themeColor="text1"/>
                <w:spacing w:val="-2"/>
                <w:sz w:val="16"/>
              </w:rPr>
              <w:t>2</w:t>
            </w:r>
            <w:r w:rsidRPr="00E82458">
              <w:rPr>
                <w:color w:val="000000" w:themeColor="text1"/>
                <w:spacing w:val="-2"/>
                <w:sz w:val="16"/>
              </w:rPr>
              <w:t>00</w:t>
            </w:r>
          </w:p>
        </w:tc>
        <w:tc>
          <w:tcPr>
            <w:tcW w:w="1701" w:type="dxa"/>
            <w:tcBorders>
              <w:top w:val="nil"/>
              <w:left w:val="single" w:sz="8" w:space="0" w:color="000000"/>
              <w:right w:val="single" w:sz="8" w:space="0" w:color="000000"/>
            </w:tcBorders>
          </w:tcPr>
          <w:p w14:paraId="52D1B9A7" w14:textId="1654FB66" w:rsidR="00C216FC" w:rsidRPr="00E82458" w:rsidRDefault="00C216FC" w:rsidP="005D4764">
            <w:pPr>
              <w:pStyle w:val="TableParagraph"/>
              <w:spacing w:before="28"/>
              <w:jc w:val="center"/>
              <w:rPr>
                <w:color w:val="000000" w:themeColor="text1"/>
                <w:spacing w:val="-2"/>
                <w:sz w:val="16"/>
              </w:rPr>
            </w:pPr>
            <w:r w:rsidRPr="00E82458">
              <w:rPr>
                <w:color w:val="000000" w:themeColor="text1"/>
                <w:spacing w:val="-2"/>
                <w:sz w:val="16"/>
              </w:rPr>
              <w:t>£</w:t>
            </w:r>
            <w:r w:rsidR="00E82458" w:rsidRPr="00E82458">
              <w:rPr>
                <w:color w:val="000000" w:themeColor="text1"/>
                <w:spacing w:val="-2"/>
                <w:sz w:val="16"/>
              </w:rPr>
              <w:t>22</w:t>
            </w:r>
            <w:r w:rsidRPr="00E82458">
              <w:rPr>
                <w:color w:val="000000" w:themeColor="text1"/>
                <w:spacing w:val="-2"/>
                <w:sz w:val="16"/>
              </w:rPr>
              <w:t>,</w:t>
            </w:r>
            <w:r w:rsidR="00E82458" w:rsidRPr="00E82458">
              <w:rPr>
                <w:color w:val="000000" w:themeColor="text1"/>
                <w:spacing w:val="-2"/>
                <w:sz w:val="16"/>
              </w:rPr>
              <w:t>7</w:t>
            </w:r>
            <w:r w:rsidRPr="00E82458">
              <w:rPr>
                <w:color w:val="000000" w:themeColor="text1"/>
                <w:spacing w:val="-2"/>
                <w:sz w:val="16"/>
              </w:rPr>
              <w:t>00</w:t>
            </w:r>
          </w:p>
        </w:tc>
      </w:tr>
      <w:tr w:rsidR="00C216FC" w:rsidRPr="001427F1" w14:paraId="744DE72C" w14:textId="77777777" w:rsidTr="00C216FC">
        <w:trPr>
          <w:trHeight w:hRule="exact" w:val="281"/>
        </w:trPr>
        <w:tc>
          <w:tcPr>
            <w:tcW w:w="936" w:type="dxa"/>
            <w:tcBorders>
              <w:top w:val="nil"/>
              <w:left w:val="single" w:sz="8" w:space="0" w:color="000000"/>
              <w:bottom w:val="single" w:sz="4" w:space="0" w:color="auto"/>
              <w:right w:val="single" w:sz="8" w:space="0" w:color="000000"/>
            </w:tcBorders>
          </w:tcPr>
          <w:p w14:paraId="5A9938DF" w14:textId="77777777" w:rsidR="00C216FC" w:rsidRPr="00DD6016" w:rsidRDefault="00C216FC" w:rsidP="005D4764">
            <w:pPr>
              <w:pStyle w:val="TableParagraph"/>
              <w:spacing w:before="28"/>
              <w:ind w:left="4"/>
              <w:jc w:val="center"/>
              <w:rPr>
                <w:rFonts w:ascii="Arial" w:hAnsi="Arial" w:cs="Arial"/>
                <w:b/>
                <w:color w:val="000000" w:themeColor="text1"/>
                <w:spacing w:val="-1"/>
                <w:w w:val="105"/>
                <w:sz w:val="16"/>
                <w:szCs w:val="16"/>
              </w:rPr>
            </w:pPr>
            <w:r w:rsidRPr="00DD6016">
              <w:rPr>
                <w:rFonts w:ascii="Arial" w:hAnsi="Arial" w:cs="Arial"/>
                <w:b/>
                <w:color w:val="000000" w:themeColor="text1"/>
                <w:spacing w:val="-1"/>
                <w:w w:val="105"/>
                <w:sz w:val="16"/>
                <w:szCs w:val="16"/>
              </w:rPr>
              <w:t>30</w:t>
            </w:r>
          </w:p>
        </w:tc>
        <w:tc>
          <w:tcPr>
            <w:tcW w:w="1339" w:type="dxa"/>
            <w:tcBorders>
              <w:top w:val="nil"/>
              <w:left w:val="single" w:sz="8" w:space="0" w:color="000000"/>
              <w:bottom w:val="single" w:sz="4" w:space="0" w:color="auto"/>
              <w:right w:val="single" w:sz="8" w:space="0" w:color="000000"/>
            </w:tcBorders>
          </w:tcPr>
          <w:p w14:paraId="4327B2F4" w14:textId="0E8C8781" w:rsidR="00C216FC" w:rsidRPr="00DD6016" w:rsidRDefault="00C216FC" w:rsidP="005D4764">
            <w:pPr>
              <w:pStyle w:val="TableParagraph"/>
              <w:spacing w:before="28"/>
              <w:jc w:val="center"/>
              <w:rPr>
                <w:color w:val="000000" w:themeColor="text1"/>
                <w:spacing w:val="-2"/>
                <w:sz w:val="16"/>
              </w:rPr>
            </w:pPr>
            <w:r w:rsidRPr="00DD6016">
              <w:rPr>
                <w:color w:val="000000" w:themeColor="text1"/>
                <w:spacing w:val="-2"/>
                <w:sz w:val="16"/>
              </w:rPr>
              <w:t>£</w:t>
            </w:r>
            <w:r w:rsidR="00DD6016" w:rsidRPr="00DD6016">
              <w:rPr>
                <w:color w:val="000000" w:themeColor="text1"/>
                <w:spacing w:val="-2"/>
                <w:sz w:val="16"/>
              </w:rPr>
              <w:t>45</w:t>
            </w:r>
            <w:r w:rsidRPr="00DD6016">
              <w:rPr>
                <w:color w:val="000000" w:themeColor="text1"/>
                <w:spacing w:val="-2"/>
                <w:sz w:val="16"/>
              </w:rPr>
              <w:t>,</w:t>
            </w:r>
            <w:r w:rsidR="00DD6016" w:rsidRPr="00DD6016">
              <w:rPr>
                <w:color w:val="000000" w:themeColor="text1"/>
                <w:spacing w:val="-2"/>
                <w:sz w:val="16"/>
              </w:rPr>
              <w:t>9</w:t>
            </w:r>
            <w:r w:rsidRPr="00DD6016">
              <w:rPr>
                <w:color w:val="000000" w:themeColor="text1"/>
                <w:spacing w:val="-2"/>
                <w:sz w:val="16"/>
              </w:rPr>
              <w:t>00</w:t>
            </w:r>
          </w:p>
        </w:tc>
        <w:tc>
          <w:tcPr>
            <w:tcW w:w="1734" w:type="dxa"/>
            <w:tcBorders>
              <w:top w:val="nil"/>
              <w:left w:val="single" w:sz="8" w:space="0" w:color="000000"/>
              <w:bottom w:val="single" w:sz="4" w:space="0" w:color="auto"/>
              <w:right w:val="single" w:sz="8" w:space="0" w:color="000000"/>
            </w:tcBorders>
          </w:tcPr>
          <w:p w14:paraId="650922B7" w14:textId="670CCBD7" w:rsidR="00C216FC" w:rsidRPr="00DD6016" w:rsidRDefault="00C216FC" w:rsidP="005D4764">
            <w:pPr>
              <w:pStyle w:val="TableParagraph"/>
              <w:spacing w:before="28"/>
              <w:jc w:val="center"/>
              <w:rPr>
                <w:color w:val="000000" w:themeColor="text1"/>
                <w:spacing w:val="-2"/>
                <w:sz w:val="16"/>
              </w:rPr>
            </w:pPr>
            <w:r w:rsidRPr="00DD6016">
              <w:rPr>
                <w:color w:val="000000" w:themeColor="text1"/>
                <w:spacing w:val="-2"/>
                <w:sz w:val="16"/>
              </w:rPr>
              <w:t>£</w:t>
            </w:r>
            <w:r w:rsidR="00DD6016" w:rsidRPr="00DD6016">
              <w:rPr>
                <w:color w:val="000000" w:themeColor="text1"/>
                <w:spacing w:val="-2"/>
                <w:sz w:val="16"/>
              </w:rPr>
              <w:t>35</w:t>
            </w:r>
            <w:r w:rsidRPr="00DD6016">
              <w:rPr>
                <w:color w:val="000000" w:themeColor="text1"/>
                <w:spacing w:val="-2"/>
                <w:sz w:val="16"/>
              </w:rPr>
              <w:t>,</w:t>
            </w:r>
            <w:r w:rsidR="00DD6016" w:rsidRPr="00DD6016">
              <w:rPr>
                <w:color w:val="000000" w:themeColor="text1"/>
                <w:spacing w:val="-2"/>
                <w:sz w:val="16"/>
              </w:rPr>
              <w:t>1</w:t>
            </w:r>
            <w:r w:rsidRPr="00DD6016">
              <w:rPr>
                <w:color w:val="000000" w:themeColor="text1"/>
                <w:spacing w:val="-2"/>
                <w:sz w:val="16"/>
              </w:rPr>
              <w:t>00</w:t>
            </w:r>
          </w:p>
        </w:tc>
        <w:tc>
          <w:tcPr>
            <w:tcW w:w="1843" w:type="dxa"/>
            <w:tcBorders>
              <w:top w:val="nil"/>
              <w:left w:val="single" w:sz="8" w:space="0" w:color="000000"/>
              <w:bottom w:val="single" w:sz="4" w:space="0" w:color="auto"/>
              <w:right w:val="single" w:sz="8" w:space="0" w:color="000000"/>
            </w:tcBorders>
          </w:tcPr>
          <w:p w14:paraId="2A85ABC9" w14:textId="4708624E" w:rsidR="00C216FC" w:rsidRPr="00E82458" w:rsidRDefault="00C216FC" w:rsidP="005D4764">
            <w:pPr>
              <w:pStyle w:val="TableParagraph"/>
              <w:spacing w:before="28"/>
              <w:jc w:val="center"/>
              <w:rPr>
                <w:color w:val="000000" w:themeColor="text1"/>
                <w:spacing w:val="-2"/>
                <w:sz w:val="16"/>
              </w:rPr>
            </w:pPr>
            <w:r w:rsidRPr="00E82458">
              <w:rPr>
                <w:color w:val="000000" w:themeColor="text1"/>
                <w:spacing w:val="-2"/>
                <w:sz w:val="16"/>
              </w:rPr>
              <w:t>£</w:t>
            </w:r>
            <w:r w:rsidR="00E82458" w:rsidRPr="00E82458">
              <w:rPr>
                <w:color w:val="000000" w:themeColor="text1"/>
                <w:spacing w:val="-2"/>
                <w:sz w:val="16"/>
              </w:rPr>
              <w:t>28</w:t>
            </w:r>
            <w:r w:rsidRPr="00E82458">
              <w:rPr>
                <w:color w:val="000000" w:themeColor="text1"/>
                <w:spacing w:val="-2"/>
                <w:sz w:val="16"/>
              </w:rPr>
              <w:t>,</w:t>
            </w:r>
            <w:r w:rsidR="00E82458" w:rsidRPr="00E82458">
              <w:rPr>
                <w:color w:val="000000" w:themeColor="text1"/>
                <w:spacing w:val="-2"/>
                <w:sz w:val="16"/>
              </w:rPr>
              <w:t>9</w:t>
            </w:r>
            <w:r w:rsidRPr="00E82458">
              <w:rPr>
                <w:color w:val="000000" w:themeColor="text1"/>
                <w:spacing w:val="-2"/>
                <w:sz w:val="16"/>
              </w:rPr>
              <w:t>00</w:t>
            </w:r>
          </w:p>
        </w:tc>
        <w:tc>
          <w:tcPr>
            <w:tcW w:w="1701" w:type="dxa"/>
            <w:tcBorders>
              <w:top w:val="nil"/>
              <w:left w:val="single" w:sz="8" w:space="0" w:color="000000"/>
              <w:bottom w:val="single" w:sz="4" w:space="0" w:color="auto"/>
              <w:right w:val="single" w:sz="8" w:space="0" w:color="000000"/>
            </w:tcBorders>
          </w:tcPr>
          <w:p w14:paraId="651C07AC" w14:textId="512603D3" w:rsidR="00C216FC" w:rsidRPr="00E82458" w:rsidRDefault="00C216FC" w:rsidP="005D4764">
            <w:pPr>
              <w:pStyle w:val="TableParagraph"/>
              <w:spacing w:before="28"/>
              <w:jc w:val="center"/>
              <w:rPr>
                <w:color w:val="000000" w:themeColor="text1"/>
                <w:spacing w:val="-2"/>
                <w:sz w:val="16"/>
              </w:rPr>
            </w:pPr>
            <w:r w:rsidRPr="00E82458">
              <w:rPr>
                <w:color w:val="000000" w:themeColor="text1"/>
                <w:spacing w:val="-2"/>
                <w:sz w:val="16"/>
              </w:rPr>
              <w:t>£</w:t>
            </w:r>
            <w:r w:rsidR="00E82458" w:rsidRPr="00E82458">
              <w:rPr>
                <w:color w:val="000000" w:themeColor="text1"/>
                <w:spacing w:val="-2"/>
                <w:sz w:val="16"/>
              </w:rPr>
              <w:t>22,300</w:t>
            </w:r>
          </w:p>
        </w:tc>
      </w:tr>
    </w:tbl>
    <w:p w14:paraId="6BAA7579" w14:textId="77777777" w:rsidR="00C32EDC" w:rsidRPr="001009B8" w:rsidRDefault="00C32EDC" w:rsidP="00C32EDC">
      <w:pPr>
        <w:spacing w:after="0" w:line="240" w:lineRule="auto"/>
        <w:ind w:left="0" w:firstLine="0"/>
        <w:rPr>
          <w:rFonts w:asciiTheme="majorHAnsi" w:hAnsiTheme="majorHAnsi" w:cstheme="majorHAnsi"/>
          <w:color w:val="000000" w:themeColor="text1"/>
          <w:sz w:val="16"/>
          <w:szCs w:val="16"/>
        </w:rPr>
      </w:pPr>
      <w:r w:rsidRPr="001009B8">
        <w:rPr>
          <w:rFonts w:asciiTheme="majorHAnsi" w:hAnsiTheme="majorHAnsi" w:cstheme="majorHAnsi"/>
          <w:b/>
          <w:bCs/>
          <w:color w:val="000000" w:themeColor="text1"/>
          <w:sz w:val="16"/>
          <w:szCs w:val="16"/>
        </w:rPr>
        <w:t>Source:</w:t>
      </w:r>
      <w:r w:rsidRPr="001009B8">
        <w:rPr>
          <w:rFonts w:asciiTheme="majorHAnsi" w:hAnsiTheme="majorHAnsi" w:cstheme="majorHAnsi"/>
          <w:color w:val="000000" w:themeColor="text1"/>
          <w:sz w:val="16"/>
          <w:szCs w:val="16"/>
        </w:rPr>
        <w:t xml:space="preserve"> Aviva</w:t>
      </w:r>
    </w:p>
    <w:p w14:paraId="15EFB9A6" w14:textId="56D268F7" w:rsidR="00D41969" w:rsidRPr="001009B8" w:rsidRDefault="004D4B6F" w:rsidP="00C8437E">
      <w:pPr>
        <w:spacing w:after="0" w:line="240" w:lineRule="auto"/>
        <w:ind w:left="0" w:firstLine="0"/>
        <w:jc w:val="both"/>
        <w:rPr>
          <w:rFonts w:asciiTheme="majorHAnsi" w:hAnsiTheme="majorHAnsi" w:cstheme="majorHAnsi"/>
          <w:color w:val="000000" w:themeColor="text1"/>
          <w:sz w:val="20"/>
          <w:szCs w:val="20"/>
        </w:rPr>
      </w:pPr>
      <w:r w:rsidRPr="001009B8">
        <w:rPr>
          <w:rFonts w:asciiTheme="majorHAnsi" w:hAnsiTheme="majorHAnsi" w:cstheme="majorHAnsi"/>
          <w:color w:val="000000" w:themeColor="text1"/>
          <w:sz w:val="20"/>
          <w:szCs w:val="20"/>
        </w:rPr>
        <w:t>Assumption</w:t>
      </w:r>
      <w:r w:rsidR="00B62B92" w:rsidRPr="001009B8">
        <w:rPr>
          <w:rFonts w:asciiTheme="majorHAnsi" w:hAnsiTheme="majorHAnsi" w:cstheme="majorHAnsi"/>
          <w:color w:val="000000" w:themeColor="text1"/>
          <w:sz w:val="20"/>
          <w:szCs w:val="20"/>
        </w:rPr>
        <w:t>s</w:t>
      </w:r>
      <w:r w:rsidR="006973A2" w:rsidRPr="001009B8">
        <w:rPr>
          <w:rFonts w:asciiTheme="majorHAnsi" w:hAnsiTheme="majorHAnsi" w:cstheme="majorHAnsi"/>
          <w:color w:val="000000" w:themeColor="text1"/>
          <w:sz w:val="20"/>
          <w:szCs w:val="20"/>
        </w:rPr>
        <w:t xml:space="preserve"> for Aviva AVC accounts</w:t>
      </w:r>
    </w:p>
    <w:p w14:paraId="08DB18A6" w14:textId="33E10D29" w:rsidR="003A550B" w:rsidRPr="001009B8" w:rsidRDefault="003A550B" w:rsidP="00C8437E">
      <w:pPr>
        <w:pStyle w:val="ListParagraph"/>
        <w:numPr>
          <w:ilvl w:val="0"/>
          <w:numId w:val="26"/>
        </w:numPr>
        <w:spacing w:after="0" w:line="240" w:lineRule="auto"/>
        <w:jc w:val="both"/>
        <w:rPr>
          <w:rFonts w:asciiTheme="majorHAnsi" w:hAnsiTheme="majorHAnsi" w:cstheme="majorHAnsi"/>
          <w:color w:val="000000" w:themeColor="text1"/>
          <w:sz w:val="20"/>
          <w:szCs w:val="20"/>
        </w:rPr>
      </w:pPr>
      <w:r w:rsidRPr="001009B8">
        <w:rPr>
          <w:rFonts w:asciiTheme="majorHAnsi" w:hAnsiTheme="majorHAnsi" w:cstheme="majorHAnsi"/>
          <w:color w:val="000000" w:themeColor="text1"/>
          <w:sz w:val="20"/>
          <w:szCs w:val="20"/>
        </w:rPr>
        <w:t>Aviva has used the following assumptions when producing the above illustrations</w:t>
      </w:r>
      <w:r w:rsidR="00B62B92" w:rsidRPr="001009B8">
        <w:rPr>
          <w:rFonts w:asciiTheme="majorHAnsi" w:hAnsiTheme="majorHAnsi" w:cstheme="majorHAnsi"/>
          <w:color w:val="000000" w:themeColor="text1"/>
          <w:sz w:val="20"/>
          <w:szCs w:val="20"/>
        </w:rPr>
        <w:t>:</w:t>
      </w:r>
    </w:p>
    <w:p w14:paraId="36B830A7" w14:textId="403CD0AF" w:rsidR="000A7A58" w:rsidRPr="006F6148" w:rsidRDefault="00D8458A" w:rsidP="00DC1DE7">
      <w:pPr>
        <w:pStyle w:val="ListParagraph"/>
        <w:numPr>
          <w:ilvl w:val="1"/>
          <w:numId w:val="26"/>
        </w:numPr>
        <w:spacing w:after="0" w:line="240" w:lineRule="auto"/>
        <w:ind w:left="1097"/>
        <w:jc w:val="both"/>
        <w:rPr>
          <w:rFonts w:asciiTheme="majorHAnsi" w:hAnsiTheme="majorHAnsi" w:cstheme="majorHAnsi"/>
          <w:color w:val="000000" w:themeColor="text1"/>
          <w:sz w:val="20"/>
          <w:szCs w:val="20"/>
        </w:rPr>
      </w:pPr>
      <w:r w:rsidRPr="006F6148">
        <w:rPr>
          <w:rFonts w:asciiTheme="majorHAnsi" w:hAnsiTheme="majorHAnsi" w:cstheme="majorHAnsi"/>
          <w:color w:val="000000" w:themeColor="text1"/>
          <w:sz w:val="20"/>
          <w:szCs w:val="20"/>
        </w:rPr>
        <w:t>A starting pot of £25,000, which is representative of</w:t>
      </w:r>
      <w:r w:rsidR="00B62B92" w:rsidRPr="006F6148">
        <w:rPr>
          <w:rFonts w:asciiTheme="majorHAnsi" w:hAnsiTheme="majorHAnsi" w:cstheme="majorHAnsi"/>
          <w:color w:val="000000" w:themeColor="text1"/>
          <w:sz w:val="20"/>
          <w:szCs w:val="20"/>
        </w:rPr>
        <w:t xml:space="preserve"> members with </w:t>
      </w:r>
      <w:r w:rsidR="00331F28" w:rsidRPr="006F6148">
        <w:rPr>
          <w:rFonts w:asciiTheme="majorHAnsi" w:hAnsiTheme="majorHAnsi" w:cstheme="majorHAnsi"/>
          <w:color w:val="000000" w:themeColor="text1"/>
          <w:sz w:val="20"/>
          <w:szCs w:val="20"/>
        </w:rPr>
        <w:t>an AVC Account</w:t>
      </w:r>
      <w:r w:rsidR="00B62B92" w:rsidRPr="006F6148">
        <w:rPr>
          <w:rFonts w:asciiTheme="majorHAnsi" w:hAnsiTheme="majorHAnsi" w:cstheme="majorHAnsi"/>
          <w:color w:val="000000" w:themeColor="text1"/>
          <w:sz w:val="20"/>
          <w:szCs w:val="20"/>
        </w:rPr>
        <w:t xml:space="preserve"> invested with Aviva</w:t>
      </w:r>
      <w:r w:rsidR="007C2AA3" w:rsidRPr="006F6148">
        <w:rPr>
          <w:rFonts w:asciiTheme="majorHAnsi" w:hAnsiTheme="majorHAnsi" w:cstheme="majorHAnsi"/>
          <w:color w:val="000000" w:themeColor="text1"/>
          <w:sz w:val="20"/>
          <w:szCs w:val="20"/>
        </w:rPr>
        <w:t>.</w:t>
      </w:r>
    </w:p>
    <w:p w14:paraId="6FD597CE" w14:textId="3B3D25D4" w:rsidR="00D8458A" w:rsidRPr="006F6148" w:rsidRDefault="00B62B92" w:rsidP="00DC1DE7">
      <w:pPr>
        <w:pStyle w:val="ListParagraph"/>
        <w:numPr>
          <w:ilvl w:val="1"/>
          <w:numId w:val="26"/>
        </w:numPr>
        <w:spacing w:after="0" w:line="240" w:lineRule="auto"/>
        <w:ind w:left="1097"/>
        <w:jc w:val="both"/>
        <w:rPr>
          <w:rFonts w:asciiTheme="majorHAnsi" w:hAnsiTheme="majorHAnsi" w:cstheme="majorHAnsi"/>
          <w:color w:val="000000" w:themeColor="text1"/>
          <w:sz w:val="20"/>
          <w:szCs w:val="20"/>
        </w:rPr>
      </w:pPr>
      <w:r w:rsidRPr="006F6148">
        <w:rPr>
          <w:rFonts w:asciiTheme="majorHAnsi" w:hAnsiTheme="majorHAnsi" w:cstheme="majorHAnsi"/>
          <w:color w:val="000000" w:themeColor="text1"/>
          <w:sz w:val="20"/>
          <w:szCs w:val="20"/>
        </w:rPr>
        <w:t>I</w:t>
      </w:r>
      <w:r w:rsidR="003A550B" w:rsidRPr="006F6148">
        <w:rPr>
          <w:rFonts w:asciiTheme="majorHAnsi" w:hAnsiTheme="majorHAnsi" w:cstheme="majorHAnsi"/>
          <w:color w:val="000000" w:themeColor="text1"/>
          <w:sz w:val="20"/>
          <w:szCs w:val="20"/>
        </w:rPr>
        <w:t>nvestment growth rates</w:t>
      </w:r>
      <w:r w:rsidRPr="006F6148">
        <w:rPr>
          <w:rFonts w:asciiTheme="majorHAnsi" w:hAnsiTheme="majorHAnsi" w:cstheme="majorHAnsi"/>
          <w:color w:val="000000" w:themeColor="text1"/>
          <w:sz w:val="20"/>
          <w:szCs w:val="20"/>
        </w:rPr>
        <w:t xml:space="preserve"> and costs and charges</w:t>
      </w:r>
      <w:r w:rsidR="003A550B" w:rsidRPr="006F6148">
        <w:rPr>
          <w:rFonts w:asciiTheme="majorHAnsi" w:hAnsiTheme="majorHAnsi" w:cstheme="majorHAnsi"/>
          <w:color w:val="000000" w:themeColor="text1"/>
          <w:sz w:val="20"/>
          <w:szCs w:val="20"/>
        </w:rPr>
        <w:t xml:space="preserve"> as per the table a</w:t>
      </w:r>
      <w:r w:rsidRPr="006F6148">
        <w:rPr>
          <w:rFonts w:asciiTheme="majorHAnsi" w:hAnsiTheme="majorHAnsi" w:cstheme="majorHAnsi"/>
          <w:color w:val="000000" w:themeColor="text1"/>
          <w:sz w:val="20"/>
          <w:szCs w:val="20"/>
        </w:rPr>
        <w:t>bove.</w:t>
      </w:r>
    </w:p>
    <w:p w14:paraId="40D05822" w14:textId="700235A6" w:rsidR="00B62B92" w:rsidRPr="006F6148" w:rsidRDefault="00B62B92" w:rsidP="00C8437E">
      <w:pPr>
        <w:pStyle w:val="ListParagraph"/>
        <w:numPr>
          <w:ilvl w:val="0"/>
          <w:numId w:val="26"/>
        </w:numPr>
        <w:spacing w:after="0" w:line="240" w:lineRule="auto"/>
        <w:jc w:val="both"/>
        <w:rPr>
          <w:rFonts w:asciiTheme="majorHAnsi" w:hAnsiTheme="majorHAnsi" w:cstheme="majorHAnsi"/>
          <w:color w:val="000000" w:themeColor="text1"/>
          <w:sz w:val="20"/>
          <w:szCs w:val="20"/>
        </w:rPr>
      </w:pPr>
      <w:r w:rsidRPr="006F6148">
        <w:rPr>
          <w:rFonts w:asciiTheme="majorHAnsi" w:hAnsiTheme="majorHAnsi" w:cstheme="majorHAnsi"/>
          <w:color w:val="000000" w:themeColor="text1"/>
          <w:sz w:val="20"/>
          <w:szCs w:val="20"/>
        </w:rPr>
        <w:t>Projected values are shown in today’s terms with future inflation assumed to be 2.5% p.a.</w:t>
      </w:r>
    </w:p>
    <w:p w14:paraId="1C5E7D86" w14:textId="6C788FC5" w:rsidR="0005496F" w:rsidRPr="006F6148" w:rsidRDefault="00B62B92" w:rsidP="00C003AA">
      <w:pPr>
        <w:pStyle w:val="ListParagraph"/>
        <w:numPr>
          <w:ilvl w:val="0"/>
          <w:numId w:val="26"/>
        </w:numPr>
        <w:spacing w:after="240" w:line="240" w:lineRule="auto"/>
        <w:jc w:val="both"/>
        <w:rPr>
          <w:rFonts w:asciiTheme="majorHAnsi" w:hAnsiTheme="majorHAnsi" w:cstheme="majorHAnsi"/>
          <w:color w:val="000000" w:themeColor="text1"/>
          <w:sz w:val="20"/>
          <w:szCs w:val="20"/>
        </w:rPr>
      </w:pPr>
      <w:r w:rsidRPr="006F6148">
        <w:rPr>
          <w:rFonts w:asciiTheme="majorHAnsi" w:hAnsiTheme="majorHAnsi" w:cstheme="majorHAnsi"/>
          <w:color w:val="000000" w:themeColor="text1"/>
          <w:sz w:val="20"/>
          <w:szCs w:val="20"/>
        </w:rPr>
        <w:t>Values shown are estimates and are not guaranteed.</w:t>
      </w:r>
    </w:p>
    <w:p w14:paraId="7130A633" w14:textId="77777777" w:rsidR="00C32EDC" w:rsidRPr="006F6148" w:rsidRDefault="00C32EDC" w:rsidP="00C8437E">
      <w:pPr>
        <w:spacing w:line="240" w:lineRule="auto"/>
        <w:ind w:left="0" w:firstLine="0"/>
        <w:jc w:val="both"/>
        <w:rPr>
          <w:b/>
          <w:color w:val="000000" w:themeColor="text1"/>
          <w:sz w:val="20"/>
          <w:szCs w:val="20"/>
        </w:rPr>
      </w:pPr>
    </w:p>
    <w:p w14:paraId="59A943E3" w14:textId="4D9F55C2" w:rsidR="0005496F" w:rsidRPr="009501A6" w:rsidRDefault="006973A2" w:rsidP="00C8437E">
      <w:pPr>
        <w:spacing w:line="240" w:lineRule="auto"/>
        <w:ind w:left="0" w:firstLine="0"/>
        <w:jc w:val="both"/>
        <w:rPr>
          <w:b/>
          <w:color w:val="000000" w:themeColor="text1"/>
          <w:sz w:val="20"/>
          <w:szCs w:val="20"/>
        </w:rPr>
      </w:pPr>
      <w:r w:rsidRPr="009501A6">
        <w:rPr>
          <w:b/>
          <w:color w:val="000000" w:themeColor="text1"/>
          <w:sz w:val="20"/>
          <w:szCs w:val="20"/>
        </w:rPr>
        <w:t xml:space="preserve">Prudential </w:t>
      </w:r>
      <w:r w:rsidR="0005496F" w:rsidRPr="009501A6">
        <w:rPr>
          <w:b/>
          <w:color w:val="000000" w:themeColor="text1"/>
          <w:sz w:val="20"/>
          <w:szCs w:val="20"/>
        </w:rPr>
        <w:t>T</w:t>
      </w:r>
      <w:r w:rsidR="00331F28" w:rsidRPr="009501A6">
        <w:rPr>
          <w:b/>
          <w:color w:val="000000" w:themeColor="text1"/>
          <w:sz w:val="20"/>
          <w:szCs w:val="20"/>
        </w:rPr>
        <w:t>ransfer A</w:t>
      </w:r>
      <w:r w:rsidR="0005496F" w:rsidRPr="009501A6">
        <w:rPr>
          <w:b/>
          <w:color w:val="000000" w:themeColor="text1"/>
          <w:sz w:val="20"/>
          <w:szCs w:val="20"/>
        </w:rPr>
        <w:t>ccounts</w:t>
      </w:r>
    </w:p>
    <w:p w14:paraId="1A494492" w14:textId="4B776F7B" w:rsidR="0005496F" w:rsidRPr="009501A6" w:rsidRDefault="0005496F" w:rsidP="00C8437E">
      <w:pPr>
        <w:spacing w:line="240" w:lineRule="auto"/>
        <w:ind w:left="0" w:firstLine="0"/>
        <w:jc w:val="both"/>
        <w:rPr>
          <w:color w:val="000000" w:themeColor="text1"/>
          <w:sz w:val="20"/>
          <w:szCs w:val="20"/>
        </w:rPr>
      </w:pPr>
      <w:r w:rsidRPr="009501A6">
        <w:rPr>
          <w:color w:val="000000" w:themeColor="text1"/>
          <w:sz w:val="20"/>
          <w:szCs w:val="20"/>
        </w:rPr>
        <w:t>The illustrations below have been produced by Willis Towers Watson</w:t>
      </w:r>
      <w:r w:rsidR="00124067" w:rsidRPr="009501A6">
        <w:rPr>
          <w:color w:val="000000" w:themeColor="text1"/>
          <w:sz w:val="20"/>
          <w:szCs w:val="20"/>
        </w:rPr>
        <w:t xml:space="preserve"> (WTW)</w:t>
      </w:r>
      <w:r w:rsidRPr="009501A6">
        <w:rPr>
          <w:color w:val="000000" w:themeColor="text1"/>
          <w:sz w:val="20"/>
          <w:szCs w:val="20"/>
        </w:rPr>
        <w:t xml:space="preserve"> on behalf of the Trustee and provide an indication of how charges and transaction costs impact </w:t>
      </w:r>
      <w:r w:rsidR="00331F28" w:rsidRPr="009501A6">
        <w:rPr>
          <w:color w:val="000000" w:themeColor="text1"/>
          <w:sz w:val="20"/>
          <w:szCs w:val="20"/>
        </w:rPr>
        <w:t>the value of a member’s Transfer Account</w:t>
      </w:r>
      <w:r w:rsidRPr="009501A6">
        <w:rPr>
          <w:color w:val="000000" w:themeColor="text1"/>
          <w:sz w:val="20"/>
          <w:szCs w:val="20"/>
        </w:rPr>
        <w:t xml:space="preserve"> over time. </w:t>
      </w:r>
      <w:r w:rsidR="007C2AA3" w:rsidRPr="009501A6">
        <w:rPr>
          <w:color w:val="000000" w:themeColor="text1"/>
          <w:sz w:val="20"/>
          <w:szCs w:val="20"/>
        </w:rPr>
        <w:t xml:space="preserve"> </w:t>
      </w:r>
      <w:r w:rsidR="00254E38" w:rsidRPr="009501A6">
        <w:rPr>
          <w:color w:val="000000" w:themeColor="text1"/>
          <w:sz w:val="20"/>
          <w:szCs w:val="20"/>
        </w:rPr>
        <w:t xml:space="preserve">For both policies, the projections </w:t>
      </w:r>
      <w:r w:rsidR="00884347" w:rsidRPr="009501A6">
        <w:rPr>
          <w:color w:val="000000" w:themeColor="text1"/>
          <w:sz w:val="20"/>
          <w:szCs w:val="20"/>
        </w:rPr>
        <w:t>assu</w:t>
      </w:r>
      <w:r w:rsidR="0005470C" w:rsidRPr="009501A6">
        <w:rPr>
          <w:color w:val="000000" w:themeColor="text1"/>
          <w:sz w:val="20"/>
          <w:szCs w:val="20"/>
        </w:rPr>
        <w:t xml:space="preserve">me no new contributions and </w:t>
      </w:r>
      <w:r w:rsidR="00254E38" w:rsidRPr="009501A6">
        <w:rPr>
          <w:color w:val="000000" w:themeColor="text1"/>
          <w:sz w:val="20"/>
          <w:szCs w:val="20"/>
        </w:rPr>
        <w:t>are over 10 years, being the approximate duration that the youngest member with a Transfer Account has until they reach the Scheme’s Normal Pension Age.</w:t>
      </w:r>
      <w:r w:rsidR="00C57F0B" w:rsidRPr="009501A6">
        <w:rPr>
          <w:color w:val="000000" w:themeColor="text1"/>
          <w:sz w:val="20"/>
          <w:szCs w:val="20"/>
        </w:rPr>
        <w:t xml:space="preserve">  All figures have been rounded to the nearest £10.</w:t>
      </w:r>
    </w:p>
    <w:p w14:paraId="0FBBDD9E" w14:textId="02333058" w:rsidR="0005496F" w:rsidRPr="009501A6" w:rsidRDefault="006973A2" w:rsidP="00C8437E">
      <w:pPr>
        <w:spacing w:line="240" w:lineRule="auto"/>
        <w:ind w:left="0" w:firstLine="0"/>
        <w:jc w:val="both"/>
        <w:rPr>
          <w:i/>
          <w:color w:val="000000" w:themeColor="text1"/>
          <w:sz w:val="20"/>
          <w:szCs w:val="20"/>
        </w:rPr>
      </w:pPr>
      <w:r w:rsidRPr="009501A6">
        <w:rPr>
          <w:i/>
          <w:color w:val="000000" w:themeColor="text1"/>
          <w:sz w:val="20"/>
          <w:szCs w:val="20"/>
        </w:rPr>
        <w:t xml:space="preserve">Prudential </w:t>
      </w:r>
      <w:r w:rsidR="0005496F" w:rsidRPr="009501A6">
        <w:rPr>
          <w:i/>
          <w:color w:val="000000" w:themeColor="text1"/>
          <w:sz w:val="20"/>
          <w:szCs w:val="20"/>
        </w:rPr>
        <w:t>Policy TTP0062</w:t>
      </w:r>
    </w:p>
    <w:p w14:paraId="7E01F54F" w14:textId="28CC2DE1" w:rsidR="0005496F" w:rsidRPr="009501A6" w:rsidRDefault="0005496F" w:rsidP="0063454D">
      <w:pPr>
        <w:spacing w:line="240" w:lineRule="auto"/>
        <w:ind w:left="0" w:firstLine="0"/>
        <w:jc w:val="both"/>
        <w:rPr>
          <w:color w:val="000000" w:themeColor="text1"/>
          <w:sz w:val="20"/>
          <w:szCs w:val="20"/>
        </w:rPr>
      </w:pPr>
      <w:r w:rsidRPr="009501A6">
        <w:rPr>
          <w:color w:val="000000" w:themeColor="text1"/>
          <w:sz w:val="20"/>
          <w:szCs w:val="20"/>
        </w:rPr>
        <w:t xml:space="preserve">Illustrations have been prepared for the </w:t>
      </w:r>
      <w:r w:rsidR="0063454D" w:rsidRPr="009501A6">
        <w:rPr>
          <w:color w:val="000000" w:themeColor="text1"/>
          <w:sz w:val="20"/>
          <w:szCs w:val="20"/>
        </w:rPr>
        <w:t>With-Profits fund only</w:t>
      </w:r>
      <w:r w:rsidRPr="009501A6">
        <w:rPr>
          <w:color w:val="000000" w:themeColor="text1"/>
          <w:sz w:val="20"/>
          <w:szCs w:val="20"/>
        </w:rPr>
        <w:t xml:space="preserve">, </w:t>
      </w:r>
      <w:r w:rsidR="0063454D" w:rsidRPr="009501A6">
        <w:rPr>
          <w:color w:val="000000" w:themeColor="text1"/>
          <w:sz w:val="20"/>
          <w:szCs w:val="20"/>
        </w:rPr>
        <w:t xml:space="preserve">as all members </w:t>
      </w:r>
      <w:r w:rsidRPr="009501A6">
        <w:rPr>
          <w:color w:val="000000" w:themeColor="text1"/>
          <w:sz w:val="20"/>
          <w:szCs w:val="20"/>
        </w:rPr>
        <w:t>under policy TTP0062</w:t>
      </w:r>
      <w:r w:rsidR="0044030A" w:rsidRPr="009501A6">
        <w:rPr>
          <w:color w:val="000000" w:themeColor="text1"/>
          <w:sz w:val="20"/>
          <w:szCs w:val="20"/>
        </w:rPr>
        <w:t xml:space="preserve"> are invested in this fund</w:t>
      </w:r>
      <w:r w:rsidR="0063454D" w:rsidRPr="009501A6">
        <w:rPr>
          <w:color w:val="000000" w:themeColor="text1"/>
          <w:sz w:val="20"/>
          <w:szCs w:val="20"/>
        </w:rPr>
        <w:t>.</w:t>
      </w:r>
    </w:p>
    <w:tbl>
      <w:tblPr>
        <w:tblW w:w="0" w:type="auto"/>
        <w:tblInd w:w="92" w:type="dxa"/>
        <w:tblLayout w:type="fixed"/>
        <w:tblCellMar>
          <w:left w:w="0" w:type="dxa"/>
          <w:right w:w="0" w:type="dxa"/>
        </w:tblCellMar>
        <w:tblLook w:val="01E0" w:firstRow="1" w:lastRow="1" w:firstColumn="1" w:lastColumn="1" w:noHBand="0" w:noVBand="0"/>
      </w:tblPr>
      <w:tblGrid>
        <w:gridCol w:w="936"/>
        <w:gridCol w:w="2506"/>
        <w:gridCol w:w="2835"/>
      </w:tblGrid>
      <w:tr w:rsidR="001427F1" w:rsidRPr="001427F1" w14:paraId="50CF5357" w14:textId="77777777" w:rsidTr="0044030A">
        <w:trPr>
          <w:trHeight w:hRule="exact" w:val="829"/>
        </w:trPr>
        <w:tc>
          <w:tcPr>
            <w:tcW w:w="936" w:type="dxa"/>
            <w:tcBorders>
              <w:top w:val="single" w:sz="8" w:space="0" w:color="000000"/>
              <w:left w:val="single" w:sz="8" w:space="0" w:color="000000"/>
              <w:right w:val="single" w:sz="8" w:space="0" w:color="000000"/>
            </w:tcBorders>
            <w:shd w:val="clear" w:color="auto" w:fill="F2F2F2" w:themeFill="background1" w:themeFillShade="F2"/>
          </w:tcPr>
          <w:p w14:paraId="6CE7751C" w14:textId="77777777" w:rsidR="0005496F" w:rsidRPr="001427F1" w:rsidRDefault="0005496F" w:rsidP="006419ED">
            <w:pPr>
              <w:rPr>
                <w:rFonts w:ascii="Arial" w:hAnsi="Arial" w:cs="Arial"/>
                <w:color w:val="FF0000"/>
              </w:rPr>
            </w:pPr>
          </w:p>
        </w:tc>
        <w:tc>
          <w:tcPr>
            <w:tcW w:w="5341"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292D7ADE" w14:textId="186798E1" w:rsidR="0005496F" w:rsidRPr="001427F1" w:rsidRDefault="0005496F" w:rsidP="0005496F">
            <w:pPr>
              <w:pStyle w:val="TableParagraph"/>
              <w:spacing w:before="10"/>
              <w:jc w:val="center"/>
              <w:rPr>
                <w:rFonts w:ascii="Arial" w:hAnsi="Arial" w:cs="Arial"/>
                <w:b/>
                <w:color w:val="FF0000"/>
                <w:spacing w:val="11"/>
                <w:sz w:val="19"/>
              </w:rPr>
            </w:pPr>
            <w:r w:rsidRPr="008028C0">
              <w:rPr>
                <w:rFonts w:ascii="Arial" w:hAnsi="Arial" w:cs="Arial"/>
                <w:b/>
                <w:spacing w:val="-1"/>
                <w:sz w:val="19"/>
              </w:rPr>
              <w:t>Illustration</w:t>
            </w:r>
            <w:r w:rsidR="00BB3815" w:rsidRPr="008028C0">
              <w:rPr>
                <w:rFonts w:ascii="Arial" w:hAnsi="Arial" w:cs="Arial"/>
                <w:b/>
                <w:spacing w:val="-1"/>
                <w:sz w:val="19"/>
              </w:rPr>
              <w:t>s</w:t>
            </w:r>
            <w:r w:rsidRPr="008028C0">
              <w:rPr>
                <w:rFonts w:ascii="Arial" w:hAnsi="Arial" w:cs="Arial"/>
                <w:b/>
                <w:spacing w:val="8"/>
                <w:sz w:val="19"/>
              </w:rPr>
              <w:t xml:space="preserve"> </w:t>
            </w:r>
            <w:r w:rsidRPr="008028C0">
              <w:rPr>
                <w:rFonts w:ascii="Arial" w:hAnsi="Arial" w:cs="Arial"/>
                <w:b/>
                <w:sz w:val="19"/>
              </w:rPr>
              <w:t>of</w:t>
            </w:r>
            <w:r w:rsidRPr="008028C0">
              <w:rPr>
                <w:rFonts w:ascii="Arial" w:hAnsi="Arial" w:cs="Arial"/>
                <w:b/>
                <w:spacing w:val="11"/>
                <w:sz w:val="19"/>
              </w:rPr>
              <w:t xml:space="preserve"> </w:t>
            </w:r>
            <w:r w:rsidR="00BB3815" w:rsidRPr="008028C0">
              <w:rPr>
                <w:rFonts w:ascii="Arial" w:hAnsi="Arial" w:cs="Arial"/>
                <w:b/>
                <w:spacing w:val="11"/>
                <w:sz w:val="19"/>
              </w:rPr>
              <w:t xml:space="preserve">the </w:t>
            </w:r>
            <w:r w:rsidRPr="008028C0">
              <w:rPr>
                <w:rFonts w:ascii="Arial" w:hAnsi="Arial" w:cs="Arial"/>
                <w:b/>
                <w:sz w:val="19"/>
              </w:rPr>
              <w:t>effect</w:t>
            </w:r>
            <w:r w:rsidRPr="008028C0">
              <w:rPr>
                <w:rFonts w:ascii="Arial" w:hAnsi="Arial" w:cs="Arial"/>
                <w:b/>
                <w:spacing w:val="10"/>
                <w:sz w:val="19"/>
              </w:rPr>
              <w:t xml:space="preserve"> </w:t>
            </w:r>
            <w:r w:rsidRPr="008028C0">
              <w:rPr>
                <w:rFonts w:ascii="Arial" w:hAnsi="Arial" w:cs="Arial"/>
                <w:b/>
                <w:sz w:val="19"/>
              </w:rPr>
              <w:t>of</w:t>
            </w:r>
            <w:r w:rsidRPr="008028C0">
              <w:rPr>
                <w:rFonts w:ascii="Arial" w:hAnsi="Arial" w:cs="Arial"/>
                <w:b/>
                <w:spacing w:val="11"/>
                <w:sz w:val="19"/>
              </w:rPr>
              <w:t xml:space="preserve"> </w:t>
            </w:r>
            <w:r w:rsidRPr="008028C0">
              <w:rPr>
                <w:rFonts w:ascii="Arial" w:hAnsi="Arial" w:cs="Arial"/>
                <w:b/>
                <w:sz w:val="19"/>
              </w:rPr>
              <w:t>costs</w:t>
            </w:r>
            <w:r w:rsidRPr="008028C0">
              <w:rPr>
                <w:rFonts w:ascii="Arial" w:hAnsi="Arial" w:cs="Arial"/>
                <w:b/>
                <w:spacing w:val="10"/>
                <w:sz w:val="19"/>
              </w:rPr>
              <w:t xml:space="preserve"> </w:t>
            </w:r>
            <w:r w:rsidRPr="008028C0">
              <w:rPr>
                <w:rFonts w:ascii="Arial" w:hAnsi="Arial" w:cs="Arial"/>
                <w:b/>
                <w:spacing w:val="-1"/>
                <w:sz w:val="19"/>
              </w:rPr>
              <w:t>and</w:t>
            </w:r>
            <w:r w:rsidRPr="008028C0">
              <w:rPr>
                <w:rFonts w:ascii="Arial" w:hAnsi="Arial" w:cs="Arial"/>
                <w:b/>
                <w:spacing w:val="9"/>
                <w:sz w:val="19"/>
              </w:rPr>
              <w:t xml:space="preserve"> </w:t>
            </w:r>
            <w:r w:rsidRPr="008028C0">
              <w:rPr>
                <w:rFonts w:ascii="Arial" w:hAnsi="Arial" w:cs="Arial"/>
                <w:b/>
                <w:spacing w:val="-1"/>
                <w:sz w:val="19"/>
              </w:rPr>
              <w:t>charges</w:t>
            </w:r>
            <w:r w:rsidRPr="008028C0">
              <w:rPr>
                <w:rFonts w:ascii="Arial" w:hAnsi="Arial" w:cs="Arial"/>
                <w:b/>
                <w:spacing w:val="10"/>
                <w:sz w:val="19"/>
              </w:rPr>
              <w:t xml:space="preserve"> </w:t>
            </w:r>
            <w:r w:rsidRPr="008028C0">
              <w:rPr>
                <w:rFonts w:ascii="Arial" w:hAnsi="Arial" w:cs="Arial"/>
                <w:b/>
                <w:sz w:val="19"/>
              </w:rPr>
              <w:t>for</w:t>
            </w:r>
            <w:r w:rsidRPr="008028C0">
              <w:rPr>
                <w:rFonts w:ascii="Arial" w:hAnsi="Arial" w:cs="Arial"/>
                <w:b/>
                <w:spacing w:val="9"/>
                <w:sz w:val="19"/>
              </w:rPr>
              <w:t xml:space="preserve"> </w:t>
            </w:r>
            <w:r w:rsidR="00BB3815" w:rsidRPr="008028C0">
              <w:rPr>
                <w:rFonts w:ascii="Arial" w:hAnsi="Arial" w:cs="Arial"/>
                <w:b/>
                <w:spacing w:val="9"/>
                <w:sz w:val="19"/>
              </w:rPr>
              <w:t>the</w:t>
            </w:r>
            <w:r w:rsidR="00F36F77" w:rsidRPr="008028C0">
              <w:rPr>
                <w:rFonts w:ascii="Arial" w:hAnsi="Arial" w:cs="Arial"/>
                <w:b/>
                <w:spacing w:val="9"/>
                <w:sz w:val="19"/>
              </w:rPr>
              <w:t xml:space="preserve"> With-Pr</w:t>
            </w:r>
            <w:r w:rsidR="00B85F88" w:rsidRPr="008028C0">
              <w:rPr>
                <w:rFonts w:ascii="Arial" w:hAnsi="Arial" w:cs="Arial"/>
                <w:b/>
                <w:spacing w:val="9"/>
                <w:sz w:val="19"/>
              </w:rPr>
              <w:t>of</w:t>
            </w:r>
            <w:r w:rsidR="00F36F77" w:rsidRPr="008028C0">
              <w:rPr>
                <w:rFonts w:ascii="Arial" w:hAnsi="Arial" w:cs="Arial"/>
                <w:b/>
                <w:spacing w:val="9"/>
                <w:sz w:val="19"/>
              </w:rPr>
              <w:t>its</w:t>
            </w:r>
            <w:r w:rsidRPr="008028C0">
              <w:rPr>
                <w:rFonts w:ascii="Arial" w:hAnsi="Arial" w:cs="Arial"/>
                <w:b/>
                <w:spacing w:val="9"/>
                <w:sz w:val="19"/>
              </w:rPr>
              <w:t xml:space="preserve"> </w:t>
            </w:r>
            <w:r w:rsidR="0083462C" w:rsidRPr="008028C0">
              <w:rPr>
                <w:rFonts w:ascii="Arial" w:hAnsi="Arial" w:cs="Arial"/>
                <w:b/>
                <w:spacing w:val="-1"/>
                <w:sz w:val="19"/>
              </w:rPr>
              <w:t>F</w:t>
            </w:r>
            <w:r w:rsidRPr="008028C0">
              <w:rPr>
                <w:rFonts w:ascii="Arial" w:hAnsi="Arial" w:cs="Arial"/>
                <w:b/>
                <w:spacing w:val="-1"/>
                <w:sz w:val="19"/>
              </w:rPr>
              <w:t>und</w:t>
            </w:r>
            <w:r w:rsidRPr="008028C0">
              <w:rPr>
                <w:rFonts w:ascii="Arial" w:hAnsi="Arial" w:cs="Arial"/>
                <w:b/>
                <w:spacing w:val="11"/>
                <w:sz w:val="19"/>
              </w:rPr>
              <w:t xml:space="preserve"> under </w:t>
            </w:r>
            <w:r w:rsidR="00E720B3" w:rsidRPr="008028C0">
              <w:rPr>
                <w:rFonts w:ascii="Arial" w:hAnsi="Arial" w:cs="Arial"/>
                <w:b/>
                <w:spacing w:val="11"/>
                <w:sz w:val="19"/>
              </w:rPr>
              <w:t>Prudential</w:t>
            </w:r>
            <w:r w:rsidR="00CF529B" w:rsidRPr="008028C0">
              <w:rPr>
                <w:rFonts w:ascii="Arial" w:hAnsi="Arial" w:cs="Arial"/>
                <w:b/>
                <w:spacing w:val="11"/>
                <w:sz w:val="19"/>
              </w:rPr>
              <w:t xml:space="preserve"> policy TTP0062</w:t>
            </w:r>
          </w:p>
        </w:tc>
      </w:tr>
      <w:tr w:rsidR="001427F1" w:rsidRPr="001427F1" w14:paraId="5FC821B3" w14:textId="77777777" w:rsidTr="00F36F77">
        <w:trPr>
          <w:trHeight w:val="523"/>
        </w:trPr>
        <w:tc>
          <w:tcPr>
            <w:tcW w:w="936" w:type="dxa"/>
            <w:vMerge w:val="restart"/>
            <w:tcBorders>
              <w:top w:val="single" w:sz="8" w:space="0" w:color="000000"/>
              <w:left w:val="single" w:sz="8" w:space="0" w:color="000000"/>
              <w:right w:val="single" w:sz="8" w:space="0" w:color="000000"/>
            </w:tcBorders>
            <w:shd w:val="clear" w:color="auto" w:fill="F2F2F2" w:themeFill="background1" w:themeFillShade="F2"/>
          </w:tcPr>
          <w:p w14:paraId="577AD37D" w14:textId="77777777" w:rsidR="00F36F77" w:rsidRPr="001427F1" w:rsidRDefault="00F36F77" w:rsidP="006419ED">
            <w:pPr>
              <w:rPr>
                <w:rFonts w:ascii="Arial" w:hAnsi="Arial" w:cs="Arial"/>
                <w:color w:val="FF0000"/>
              </w:rPr>
            </w:pPr>
          </w:p>
        </w:tc>
        <w:tc>
          <w:tcPr>
            <w:tcW w:w="5341" w:type="dxa"/>
            <w:gridSpan w:val="2"/>
            <w:tcBorders>
              <w:top w:val="single" w:sz="8" w:space="0" w:color="000000"/>
              <w:left w:val="single" w:sz="8" w:space="0" w:color="000000"/>
              <w:right w:val="single" w:sz="8" w:space="0" w:color="000000"/>
            </w:tcBorders>
            <w:shd w:val="clear" w:color="auto" w:fill="F1F1F1"/>
            <w:vAlign w:val="center"/>
          </w:tcPr>
          <w:p w14:paraId="1E10513B" w14:textId="1056CD87" w:rsidR="00F36F77" w:rsidRPr="001427F1" w:rsidRDefault="00F36F77" w:rsidP="00F36F77">
            <w:pPr>
              <w:pStyle w:val="TableParagraph"/>
              <w:spacing w:before="45"/>
              <w:jc w:val="center"/>
              <w:rPr>
                <w:rFonts w:ascii="Arial" w:hAnsi="Arial" w:cs="Arial"/>
                <w:b/>
                <w:color w:val="FF0000"/>
                <w:spacing w:val="-3"/>
                <w:w w:val="105"/>
                <w:sz w:val="16"/>
                <w:szCs w:val="16"/>
              </w:rPr>
            </w:pPr>
            <w:r w:rsidRPr="00133459">
              <w:rPr>
                <w:rFonts w:ascii="Arial" w:hAnsi="Arial" w:cs="Arial"/>
                <w:b/>
                <w:spacing w:val="-1"/>
                <w:w w:val="105"/>
                <w:sz w:val="16"/>
                <w:szCs w:val="16"/>
              </w:rPr>
              <w:t>Assumed</w:t>
            </w:r>
            <w:r w:rsidRPr="00133459">
              <w:rPr>
                <w:rFonts w:ascii="Arial" w:hAnsi="Arial" w:cs="Arial"/>
                <w:b/>
                <w:spacing w:val="-4"/>
                <w:w w:val="105"/>
                <w:sz w:val="16"/>
                <w:szCs w:val="16"/>
              </w:rPr>
              <w:t xml:space="preserve"> </w:t>
            </w:r>
            <w:r w:rsidRPr="00133459">
              <w:rPr>
                <w:rFonts w:ascii="Arial" w:hAnsi="Arial" w:cs="Arial"/>
                <w:b/>
                <w:spacing w:val="-1"/>
                <w:w w:val="105"/>
                <w:sz w:val="16"/>
                <w:szCs w:val="16"/>
              </w:rPr>
              <w:t>growth</w:t>
            </w:r>
            <w:r w:rsidRPr="00133459">
              <w:rPr>
                <w:rFonts w:ascii="Arial" w:hAnsi="Arial" w:cs="Arial"/>
                <w:b/>
                <w:spacing w:val="-4"/>
                <w:w w:val="105"/>
                <w:sz w:val="16"/>
                <w:szCs w:val="16"/>
              </w:rPr>
              <w:t xml:space="preserve"> </w:t>
            </w:r>
            <w:r w:rsidRPr="00133459">
              <w:rPr>
                <w:rFonts w:ascii="Arial" w:hAnsi="Arial" w:cs="Arial"/>
                <w:b/>
                <w:spacing w:val="-1"/>
                <w:w w:val="105"/>
                <w:sz w:val="16"/>
                <w:szCs w:val="16"/>
              </w:rPr>
              <w:t xml:space="preserve">rate </w:t>
            </w:r>
            <w:r w:rsidRPr="00133459">
              <w:rPr>
                <w:rFonts w:ascii="Arial" w:hAnsi="Arial" w:cs="Arial"/>
                <w:b/>
                <w:spacing w:val="-3"/>
                <w:w w:val="105"/>
                <w:sz w:val="16"/>
                <w:szCs w:val="16"/>
              </w:rPr>
              <w:t xml:space="preserve">before inflation </w:t>
            </w:r>
            <w:r w:rsidR="00133459" w:rsidRPr="00133459">
              <w:rPr>
                <w:rFonts w:ascii="Arial" w:hAnsi="Arial" w:cs="Arial"/>
                <w:b/>
                <w:spacing w:val="-1"/>
                <w:w w:val="105"/>
                <w:sz w:val="16"/>
                <w:szCs w:val="16"/>
              </w:rPr>
              <w:t>4</w:t>
            </w:r>
            <w:r w:rsidRPr="00133459">
              <w:rPr>
                <w:rFonts w:ascii="Arial" w:hAnsi="Arial" w:cs="Arial"/>
                <w:b/>
                <w:spacing w:val="-1"/>
                <w:w w:val="105"/>
                <w:sz w:val="16"/>
                <w:szCs w:val="16"/>
              </w:rPr>
              <w:t>% pa</w:t>
            </w:r>
          </w:p>
        </w:tc>
      </w:tr>
      <w:tr w:rsidR="001977DC" w:rsidRPr="001977DC" w14:paraId="4BAE1D7B" w14:textId="77777777" w:rsidTr="00F36F77">
        <w:trPr>
          <w:trHeight w:hRule="exact" w:val="569"/>
        </w:trPr>
        <w:tc>
          <w:tcPr>
            <w:tcW w:w="936" w:type="dxa"/>
            <w:vMerge/>
            <w:tcBorders>
              <w:left w:val="single" w:sz="8" w:space="0" w:color="000000"/>
              <w:bottom w:val="single" w:sz="8" w:space="0" w:color="000000"/>
              <w:right w:val="single" w:sz="8" w:space="0" w:color="000000"/>
            </w:tcBorders>
            <w:shd w:val="clear" w:color="auto" w:fill="F2F2F2" w:themeFill="background1" w:themeFillShade="F2"/>
          </w:tcPr>
          <w:p w14:paraId="169AF8FB" w14:textId="77777777" w:rsidR="0044030A" w:rsidRPr="001427F1" w:rsidRDefault="0044030A" w:rsidP="006419ED">
            <w:pPr>
              <w:rPr>
                <w:rFonts w:ascii="Arial" w:hAnsi="Arial" w:cs="Arial"/>
                <w:color w:val="FF0000"/>
              </w:rPr>
            </w:pPr>
          </w:p>
        </w:tc>
        <w:tc>
          <w:tcPr>
            <w:tcW w:w="5341"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524E6822" w14:textId="20F9B185" w:rsidR="0044030A" w:rsidRPr="001977DC" w:rsidRDefault="0044030A" w:rsidP="00F36F77">
            <w:pPr>
              <w:pStyle w:val="TableParagraph"/>
              <w:spacing w:before="45"/>
              <w:jc w:val="center"/>
              <w:rPr>
                <w:rFonts w:ascii="Arial" w:eastAsia="Source Sans Pro" w:hAnsi="Arial" w:cs="Arial"/>
                <w:color w:val="000000" w:themeColor="text1"/>
                <w:sz w:val="16"/>
                <w:szCs w:val="16"/>
              </w:rPr>
            </w:pPr>
            <w:r w:rsidRPr="001977DC">
              <w:rPr>
                <w:rFonts w:ascii="Arial" w:hAnsi="Arial" w:cs="Arial"/>
                <w:b/>
                <w:color w:val="000000" w:themeColor="text1"/>
                <w:spacing w:val="-1"/>
                <w:w w:val="105"/>
                <w:sz w:val="16"/>
                <w:szCs w:val="16"/>
              </w:rPr>
              <w:t>Assumed</w:t>
            </w:r>
            <w:r w:rsidRPr="001977DC">
              <w:rPr>
                <w:rFonts w:ascii="Arial" w:hAnsi="Arial" w:cs="Arial"/>
                <w:b/>
                <w:color w:val="000000" w:themeColor="text1"/>
                <w:spacing w:val="-3"/>
                <w:w w:val="105"/>
                <w:sz w:val="16"/>
                <w:szCs w:val="16"/>
              </w:rPr>
              <w:t xml:space="preserve"> </w:t>
            </w:r>
            <w:r w:rsidRPr="001977DC">
              <w:rPr>
                <w:rFonts w:ascii="Arial" w:hAnsi="Arial" w:cs="Arial"/>
                <w:b/>
                <w:color w:val="000000" w:themeColor="text1"/>
                <w:spacing w:val="-1"/>
                <w:w w:val="105"/>
                <w:sz w:val="16"/>
                <w:szCs w:val="16"/>
              </w:rPr>
              <w:t>costs</w:t>
            </w:r>
            <w:r w:rsidRPr="001977DC">
              <w:rPr>
                <w:rFonts w:ascii="Arial" w:hAnsi="Arial" w:cs="Arial"/>
                <w:b/>
                <w:color w:val="000000" w:themeColor="text1"/>
                <w:spacing w:val="-3"/>
                <w:w w:val="105"/>
                <w:sz w:val="16"/>
                <w:szCs w:val="16"/>
              </w:rPr>
              <w:t xml:space="preserve"> </w:t>
            </w:r>
            <w:r w:rsidRPr="001977DC">
              <w:rPr>
                <w:rFonts w:ascii="Arial" w:hAnsi="Arial" w:cs="Arial"/>
                <w:b/>
                <w:color w:val="000000" w:themeColor="text1"/>
                <w:spacing w:val="-1"/>
                <w:w w:val="105"/>
                <w:sz w:val="16"/>
                <w:szCs w:val="16"/>
              </w:rPr>
              <w:t>and</w:t>
            </w:r>
            <w:r w:rsidRPr="001977DC">
              <w:rPr>
                <w:rFonts w:ascii="Arial" w:hAnsi="Arial" w:cs="Arial"/>
                <w:b/>
                <w:color w:val="000000" w:themeColor="text1"/>
                <w:spacing w:val="-2"/>
                <w:w w:val="105"/>
                <w:sz w:val="16"/>
                <w:szCs w:val="16"/>
              </w:rPr>
              <w:t xml:space="preserve"> </w:t>
            </w:r>
            <w:r w:rsidRPr="001977DC">
              <w:rPr>
                <w:rFonts w:ascii="Arial" w:hAnsi="Arial" w:cs="Arial"/>
                <w:b/>
                <w:color w:val="000000" w:themeColor="text1"/>
                <w:spacing w:val="-1"/>
                <w:w w:val="105"/>
                <w:sz w:val="16"/>
                <w:szCs w:val="16"/>
              </w:rPr>
              <w:t>charges</w:t>
            </w:r>
            <w:r w:rsidRPr="001977DC">
              <w:rPr>
                <w:rFonts w:ascii="Arial" w:hAnsi="Arial" w:cs="Arial"/>
                <w:b/>
                <w:color w:val="000000" w:themeColor="text1"/>
                <w:spacing w:val="18"/>
                <w:w w:val="105"/>
                <w:sz w:val="16"/>
                <w:szCs w:val="16"/>
              </w:rPr>
              <w:t xml:space="preserve"> </w:t>
            </w:r>
            <w:r w:rsidR="00E123D4" w:rsidRPr="001977DC">
              <w:rPr>
                <w:rFonts w:ascii="Arial" w:hAnsi="Arial" w:cs="Arial"/>
                <w:b/>
                <w:color w:val="000000" w:themeColor="text1"/>
                <w:spacing w:val="-1"/>
                <w:w w:val="105"/>
                <w:sz w:val="16"/>
                <w:szCs w:val="16"/>
              </w:rPr>
              <w:t>1.</w:t>
            </w:r>
            <w:r w:rsidR="001977DC" w:rsidRPr="001977DC">
              <w:rPr>
                <w:rFonts w:ascii="Arial" w:hAnsi="Arial" w:cs="Arial"/>
                <w:b/>
                <w:color w:val="000000" w:themeColor="text1"/>
                <w:spacing w:val="-1"/>
                <w:w w:val="105"/>
                <w:sz w:val="16"/>
                <w:szCs w:val="16"/>
              </w:rPr>
              <w:t>396</w:t>
            </w:r>
            <w:r w:rsidRPr="001977DC">
              <w:rPr>
                <w:rFonts w:ascii="Arial" w:hAnsi="Arial" w:cs="Arial"/>
                <w:b/>
                <w:color w:val="000000" w:themeColor="text1"/>
                <w:spacing w:val="-1"/>
                <w:w w:val="105"/>
                <w:sz w:val="16"/>
                <w:szCs w:val="16"/>
              </w:rPr>
              <w:t>% pa</w:t>
            </w:r>
          </w:p>
        </w:tc>
      </w:tr>
      <w:tr w:rsidR="001427F1" w:rsidRPr="001427F1" w14:paraId="29E33877" w14:textId="77777777" w:rsidTr="00F36F77">
        <w:trPr>
          <w:trHeight w:hRule="exact" w:val="872"/>
        </w:trPr>
        <w:tc>
          <w:tcPr>
            <w:tcW w:w="936" w:type="dxa"/>
            <w:tcBorders>
              <w:top w:val="single" w:sz="8" w:space="0" w:color="000000"/>
              <w:left w:val="single" w:sz="8" w:space="0" w:color="000000"/>
              <w:bottom w:val="single" w:sz="8" w:space="0" w:color="000000"/>
              <w:right w:val="single" w:sz="8" w:space="0" w:color="000000"/>
            </w:tcBorders>
            <w:vAlign w:val="center"/>
          </w:tcPr>
          <w:p w14:paraId="71ADDC16" w14:textId="77777777" w:rsidR="0044030A" w:rsidRPr="00133459" w:rsidRDefault="0044030A" w:rsidP="006419ED">
            <w:pPr>
              <w:pStyle w:val="TableParagraph"/>
              <w:jc w:val="center"/>
              <w:rPr>
                <w:rFonts w:ascii="Arial" w:eastAsia="Source Sans Pro" w:hAnsi="Arial" w:cs="Arial"/>
                <w:sz w:val="16"/>
                <w:szCs w:val="16"/>
              </w:rPr>
            </w:pPr>
            <w:r w:rsidRPr="00133459">
              <w:rPr>
                <w:rFonts w:ascii="Arial" w:hAnsi="Arial" w:cs="Arial"/>
                <w:b/>
                <w:w w:val="105"/>
                <w:sz w:val="16"/>
                <w:szCs w:val="16"/>
              </w:rPr>
              <w:t>At</w:t>
            </w:r>
            <w:r w:rsidRPr="00133459">
              <w:rPr>
                <w:rFonts w:ascii="Arial" w:hAnsi="Arial" w:cs="Arial"/>
                <w:b/>
                <w:spacing w:val="-4"/>
                <w:w w:val="105"/>
                <w:sz w:val="16"/>
                <w:szCs w:val="16"/>
              </w:rPr>
              <w:t xml:space="preserve"> </w:t>
            </w:r>
            <w:r w:rsidRPr="00133459">
              <w:rPr>
                <w:rFonts w:ascii="Arial" w:hAnsi="Arial" w:cs="Arial"/>
                <w:b/>
                <w:spacing w:val="-1"/>
                <w:w w:val="105"/>
                <w:sz w:val="16"/>
                <w:szCs w:val="16"/>
              </w:rPr>
              <w:t xml:space="preserve">end </w:t>
            </w:r>
            <w:r w:rsidRPr="00133459">
              <w:rPr>
                <w:rFonts w:ascii="Arial" w:hAnsi="Arial" w:cs="Arial"/>
                <w:b/>
                <w:w w:val="105"/>
                <w:sz w:val="16"/>
                <w:szCs w:val="16"/>
              </w:rPr>
              <w:t>of</w:t>
            </w:r>
            <w:r w:rsidRPr="00133459">
              <w:rPr>
                <w:rFonts w:ascii="Arial" w:hAnsi="Arial" w:cs="Arial"/>
                <w:b/>
                <w:spacing w:val="-3"/>
                <w:w w:val="105"/>
                <w:sz w:val="16"/>
                <w:szCs w:val="16"/>
              </w:rPr>
              <w:t xml:space="preserve"> </w:t>
            </w:r>
            <w:r w:rsidRPr="00133459">
              <w:rPr>
                <w:rFonts w:ascii="Arial" w:hAnsi="Arial" w:cs="Arial"/>
                <w:b/>
                <w:spacing w:val="-1"/>
                <w:w w:val="105"/>
                <w:sz w:val="16"/>
                <w:szCs w:val="16"/>
              </w:rPr>
              <w:t>year</w:t>
            </w:r>
          </w:p>
        </w:tc>
        <w:tc>
          <w:tcPr>
            <w:tcW w:w="2506" w:type="dxa"/>
            <w:tcBorders>
              <w:top w:val="single" w:sz="8" w:space="0" w:color="000000"/>
              <w:left w:val="single" w:sz="8" w:space="0" w:color="000000"/>
              <w:bottom w:val="single" w:sz="8" w:space="0" w:color="000000"/>
              <w:right w:val="single" w:sz="8" w:space="0" w:color="000000"/>
            </w:tcBorders>
          </w:tcPr>
          <w:p w14:paraId="35E1211E" w14:textId="51F326C9" w:rsidR="0044030A" w:rsidRPr="00133459" w:rsidRDefault="0044030A" w:rsidP="006419ED">
            <w:pPr>
              <w:pStyle w:val="TableParagraph"/>
              <w:spacing w:before="76" w:line="287" w:lineRule="auto"/>
              <w:ind w:left="61" w:right="55"/>
              <w:jc w:val="center"/>
              <w:rPr>
                <w:rFonts w:ascii="Arial" w:eastAsia="Source Sans Pro" w:hAnsi="Arial" w:cs="Arial"/>
                <w:sz w:val="16"/>
                <w:szCs w:val="16"/>
              </w:rPr>
            </w:pPr>
            <w:r w:rsidRPr="00133459">
              <w:rPr>
                <w:rFonts w:ascii="Arial" w:hAnsi="Arial" w:cs="Arial"/>
                <w:b/>
                <w:spacing w:val="-1"/>
                <w:w w:val="105"/>
                <w:sz w:val="16"/>
                <w:szCs w:val="16"/>
              </w:rPr>
              <w:t>Projected</w:t>
            </w:r>
            <w:r w:rsidRPr="00133459">
              <w:rPr>
                <w:rFonts w:ascii="Arial" w:hAnsi="Arial" w:cs="Arial"/>
                <w:b/>
                <w:spacing w:val="-6"/>
                <w:w w:val="105"/>
                <w:sz w:val="16"/>
                <w:szCs w:val="16"/>
              </w:rPr>
              <w:t xml:space="preserve"> </w:t>
            </w:r>
            <w:r w:rsidRPr="00133459">
              <w:rPr>
                <w:rFonts w:ascii="Arial" w:hAnsi="Arial" w:cs="Arial"/>
                <w:b/>
                <w:spacing w:val="-1"/>
                <w:w w:val="105"/>
                <w:sz w:val="16"/>
                <w:szCs w:val="16"/>
              </w:rPr>
              <w:t>value</w:t>
            </w:r>
            <w:r w:rsidRPr="00133459">
              <w:rPr>
                <w:rFonts w:ascii="Arial" w:hAnsi="Arial" w:cs="Arial"/>
                <w:b/>
                <w:spacing w:val="29"/>
                <w:w w:val="104"/>
                <w:sz w:val="16"/>
                <w:szCs w:val="16"/>
              </w:rPr>
              <w:t xml:space="preserve"> in today’s money </w:t>
            </w:r>
            <w:r w:rsidRPr="00133459">
              <w:rPr>
                <w:rFonts w:ascii="Arial" w:hAnsi="Arial" w:cs="Arial"/>
                <w:b/>
                <w:spacing w:val="-1"/>
                <w:w w:val="105"/>
                <w:sz w:val="16"/>
                <w:szCs w:val="16"/>
              </w:rPr>
              <w:t>assuming</w:t>
            </w:r>
            <w:r w:rsidRPr="00133459">
              <w:rPr>
                <w:rFonts w:ascii="Arial" w:hAnsi="Arial" w:cs="Arial"/>
                <w:b/>
                <w:spacing w:val="-5"/>
                <w:w w:val="105"/>
                <w:sz w:val="16"/>
                <w:szCs w:val="16"/>
              </w:rPr>
              <w:t xml:space="preserve"> </w:t>
            </w:r>
            <w:r w:rsidRPr="00133459">
              <w:rPr>
                <w:rFonts w:ascii="Arial" w:hAnsi="Arial" w:cs="Arial"/>
                <w:b/>
                <w:spacing w:val="-1"/>
                <w:w w:val="105"/>
                <w:sz w:val="16"/>
                <w:szCs w:val="16"/>
              </w:rPr>
              <w:t>no</w:t>
            </w:r>
            <w:r w:rsidRPr="00133459">
              <w:rPr>
                <w:rFonts w:ascii="Arial" w:hAnsi="Arial" w:cs="Arial"/>
                <w:b/>
                <w:spacing w:val="22"/>
                <w:w w:val="104"/>
                <w:sz w:val="16"/>
                <w:szCs w:val="16"/>
              </w:rPr>
              <w:t xml:space="preserve"> </w:t>
            </w:r>
            <w:r w:rsidRPr="00133459">
              <w:rPr>
                <w:rFonts w:ascii="Arial" w:hAnsi="Arial" w:cs="Arial"/>
                <w:b/>
                <w:spacing w:val="-1"/>
                <w:w w:val="105"/>
                <w:sz w:val="16"/>
                <w:szCs w:val="16"/>
              </w:rPr>
              <w:t>charges</w:t>
            </w:r>
            <w:r w:rsidRPr="00133459">
              <w:rPr>
                <w:rFonts w:ascii="Arial" w:hAnsi="Arial" w:cs="Arial"/>
                <w:b/>
                <w:spacing w:val="-6"/>
                <w:w w:val="105"/>
                <w:sz w:val="16"/>
                <w:szCs w:val="16"/>
              </w:rPr>
              <w:t xml:space="preserve"> </w:t>
            </w:r>
            <w:r w:rsidRPr="00133459">
              <w:rPr>
                <w:rFonts w:ascii="Arial" w:hAnsi="Arial" w:cs="Arial"/>
                <w:b/>
                <w:spacing w:val="-1"/>
                <w:w w:val="105"/>
                <w:sz w:val="16"/>
                <w:szCs w:val="16"/>
              </w:rPr>
              <w:t>are</w:t>
            </w:r>
            <w:r w:rsidRPr="00133459">
              <w:rPr>
                <w:rFonts w:ascii="Arial" w:hAnsi="Arial" w:cs="Arial"/>
                <w:b/>
                <w:spacing w:val="25"/>
                <w:w w:val="104"/>
                <w:sz w:val="16"/>
                <w:szCs w:val="16"/>
              </w:rPr>
              <w:t xml:space="preserve"> </w:t>
            </w:r>
            <w:r w:rsidRPr="00133459">
              <w:rPr>
                <w:rFonts w:ascii="Arial" w:hAnsi="Arial" w:cs="Arial"/>
                <w:b/>
                <w:spacing w:val="-1"/>
                <w:w w:val="105"/>
                <w:sz w:val="16"/>
                <w:szCs w:val="16"/>
              </w:rPr>
              <w:t>taken</w:t>
            </w:r>
          </w:p>
        </w:tc>
        <w:tc>
          <w:tcPr>
            <w:tcW w:w="2835" w:type="dxa"/>
            <w:tcBorders>
              <w:top w:val="single" w:sz="8" w:space="0" w:color="000000"/>
              <w:left w:val="single" w:sz="8" w:space="0" w:color="000000"/>
              <w:bottom w:val="single" w:sz="8" w:space="0" w:color="000000"/>
              <w:right w:val="single" w:sz="8" w:space="0" w:color="000000"/>
            </w:tcBorders>
          </w:tcPr>
          <w:p w14:paraId="18C04FBF" w14:textId="7823DA09" w:rsidR="0044030A" w:rsidRPr="00133459" w:rsidRDefault="0044030A" w:rsidP="006419ED">
            <w:pPr>
              <w:pStyle w:val="TableParagraph"/>
              <w:spacing w:before="76" w:line="287" w:lineRule="auto"/>
              <w:ind w:left="61" w:right="55"/>
              <w:jc w:val="center"/>
              <w:rPr>
                <w:rFonts w:ascii="Arial" w:eastAsia="Source Sans Pro" w:hAnsi="Arial" w:cs="Arial"/>
                <w:sz w:val="16"/>
                <w:szCs w:val="16"/>
              </w:rPr>
            </w:pPr>
            <w:r w:rsidRPr="00133459">
              <w:rPr>
                <w:rFonts w:ascii="Arial" w:hAnsi="Arial" w:cs="Arial"/>
                <w:b/>
                <w:spacing w:val="-1"/>
                <w:w w:val="105"/>
                <w:sz w:val="16"/>
                <w:szCs w:val="16"/>
              </w:rPr>
              <w:t>Projected</w:t>
            </w:r>
            <w:r w:rsidRPr="00133459">
              <w:rPr>
                <w:rFonts w:ascii="Arial" w:hAnsi="Arial" w:cs="Arial"/>
                <w:b/>
                <w:spacing w:val="-6"/>
                <w:w w:val="105"/>
                <w:sz w:val="16"/>
                <w:szCs w:val="16"/>
              </w:rPr>
              <w:t xml:space="preserve"> </w:t>
            </w:r>
            <w:r w:rsidRPr="00133459">
              <w:rPr>
                <w:rFonts w:ascii="Arial" w:hAnsi="Arial" w:cs="Arial"/>
                <w:b/>
                <w:spacing w:val="-1"/>
                <w:w w:val="105"/>
                <w:sz w:val="16"/>
                <w:szCs w:val="16"/>
              </w:rPr>
              <w:t>value</w:t>
            </w:r>
            <w:r w:rsidRPr="00133459">
              <w:rPr>
                <w:rFonts w:ascii="Arial" w:hAnsi="Arial" w:cs="Arial"/>
                <w:b/>
                <w:spacing w:val="29"/>
                <w:w w:val="104"/>
                <w:sz w:val="16"/>
                <w:szCs w:val="16"/>
              </w:rPr>
              <w:t xml:space="preserve"> in today’s money </w:t>
            </w:r>
            <w:r w:rsidRPr="00133459">
              <w:rPr>
                <w:rFonts w:ascii="Arial" w:hAnsi="Arial" w:cs="Arial"/>
                <w:b/>
                <w:spacing w:val="-1"/>
                <w:w w:val="105"/>
                <w:sz w:val="16"/>
                <w:szCs w:val="16"/>
              </w:rPr>
              <w:t>after</w:t>
            </w:r>
            <w:r w:rsidRPr="00133459">
              <w:rPr>
                <w:rFonts w:ascii="Arial" w:hAnsi="Arial" w:cs="Arial"/>
                <w:b/>
                <w:spacing w:val="-4"/>
                <w:w w:val="105"/>
                <w:sz w:val="16"/>
                <w:szCs w:val="16"/>
              </w:rPr>
              <w:t xml:space="preserve"> </w:t>
            </w:r>
            <w:r w:rsidRPr="00133459">
              <w:rPr>
                <w:rFonts w:ascii="Arial" w:hAnsi="Arial" w:cs="Arial"/>
                <w:b/>
                <w:spacing w:val="-1"/>
                <w:w w:val="105"/>
                <w:sz w:val="16"/>
                <w:szCs w:val="16"/>
              </w:rPr>
              <w:t>costs</w:t>
            </w:r>
            <w:r w:rsidRPr="00133459">
              <w:rPr>
                <w:rFonts w:ascii="Arial" w:hAnsi="Arial" w:cs="Arial"/>
                <w:b/>
                <w:spacing w:val="-3"/>
                <w:w w:val="105"/>
                <w:sz w:val="16"/>
                <w:szCs w:val="16"/>
              </w:rPr>
              <w:t xml:space="preserve"> </w:t>
            </w:r>
            <w:r w:rsidRPr="00133459">
              <w:rPr>
                <w:rFonts w:ascii="Arial" w:hAnsi="Arial" w:cs="Arial"/>
                <w:b/>
                <w:spacing w:val="-1"/>
                <w:w w:val="105"/>
                <w:sz w:val="16"/>
                <w:szCs w:val="16"/>
              </w:rPr>
              <w:t>and</w:t>
            </w:r>
            <w:r w:rsidRPr="00133459">
              <w:rPr>
                <w:rFonts w:ascii="Arial" w:hAnsi="Arial" w:cs="Arial"/>
                <w:b/>
                <w:spacing w:val="24"/>
                <w:w w:val="104"/>
                <w:sz w:val="16"/>
                <w:szCs w:val="16"/>
              </w:rPr>
              <w:t xml:space="preserve"> </w:t>
            </w:r>
            <w:r w:rsidRPr="00133459">
              <w:rPr>
                <w:rFonts w:ascii="Arial" w:hAnsi="Arial" w:cs="Arial"/>
                <w:b/>
                <w:spacing w:val="-1"/>
                <w:w w:val="105"/>
                <w:sz w:val="16"/>
                <w:szCs w:val="16"/>
              </w:rPr>
              <w:t>charges</w:t>
            </w:r>
            <w:r w:rsidRPr="00133459">
              <w:rPr>
                <w:rFonts w:ascii="Arial" w:hAnsi="Arial" w:cs="Arial"/>
                <w:b/>
                <w:spacing w:val="-6"/>
                <w:w w:val="105"/>
                <w:sz w:val="16"/>
                <w:szCs w:val="16"/>
              </w:rPr>
              <w:t xml:space="preserve"> </w:t>
            </w:r>
            <w:r w:rsidRPr="00133459">
              <w:rPr>
                <w:rFonts w:ascii="Arial" w:hAnsi="Arial" w:cs="Arial"/>
                <w:b/>
                <w:spacing w:val="-1"/>
                <w:w w:val="105"/>
                <w:sz w:val="16"/>
                <w:szCs w:val="16"/>
              </w:rPr>
              <w:t>are</w:t>
            </w:r>
            <w:r w:rsidRPr="00133459">
              <w:rPr>
                <w:rFonts w:ascii="Arial" w:hAnsi="Arial" w:cs="Arial"/>
                <w:b/>
                <w:spacing w:val="25"/>
                <w:w w:val="104"/>
                <w:sz w:val="16"/>
                <w:szCs w:val="16"/>
              </w:rPr>
              <w:t xml:space="preserve"> </w:t>
            </w:r>
            <w:r w:rsidRPr="00133459">
              <w:rPr>
                <w:rFonts w:ascii="Arial" w:hAnsi="Arial" w:cs="Arial"/>
                <w:b/>
                <w:spacing w:val="-1"/>
                <w:w w:val="105"/>
                <w:sz w:val="16"/>
                <w:szCs w:val="16"/>
              </w:rPr>
              <w:t>taken</w:t>
            </w:r>
          </w:p>
        </w:tc>
      </w:tr>
      <w:tr w:rsidR="001427F1" w:rsidRPr="001427F1" w14:paraId="1DB9938D" w14:textId="77777777" w:rsidTr="00F36F77">
        <w:trPr>
          <w:trHeight w:hRule="exact" w:val="283"/>
        </w:trPr>
        <w:tc>
          <w:tcPr>
            <w:tcW w:w="936" w:type="dxa"/>
            <w:tcBorders>
              <w:top w:val="single" w:sz="8" w:space="0" w:color="000000"/>
              <w:left w:val="single" w:sz="8" w:space="0" w:color="000000"/>
              <w:right w:val="single" w:sz="8" w:space="0" w:color="000000"/>
            </w:tcBorders>
          </w:tcPr>
          <w:p w14:paraId="0CF9EB80" w14:textId="77777777" w:rsidR="0044030A" w:rsidRPr="00133459" w:rsidRDefault="0044030A" w:rsidP="00490244">
            <w:pPr>
              <w:pStyle w:val="TableParagraph"/>
              <w:spacing w:before="60" w:after="60"/>
              <w:ind w:left="5"/>
              <w:jc w:val="center"/>
              <w:rPr>
                <w:rFonts w:ascii="Arial" w:hAnsi="Arial" w:cs="Arial"/>
                <w:b/>
                <w:w w:val="105"/>
                <w:sz w:val="16"/>
                <w:szCs w:val="16"/>
              </w:rPr>
            </w:pPr>
            <w:r w:rsidRPr="00133459">
              <w:rPr>
                <w:rFonts w:ascii="Arial" w:hAnsi="Arial" w:cs="Arial"/>
                <w:b/>
                <w:w w:val="105"/>
                <w:sz w:val="16"/>
                <w:szCs w:val="16"/>
              </w:rPr>
              <w:t>0</w:t>
            </w:r>
          </w:p>
        </w:tc>
        <w:tc>
          <w:tcPr>
            <w:tcW w:w="2506" w:type="dxa"/>
            <w:tcBorders>
              <w:top w:val="single" w:sz="8" w:space="0" w:color="000000"/>
              <w:left w:val="single" w:sz="8" w:space="0" w:color="000000"/>
              <w:right w:val="single" w:sz="8" w:space="0" w:color="000000"/>
            </w:tcBorders>
          </w:tcPr>
          <w:p w14:paraId="6ACC3ECD" w14:textId="384C8F92" w:rsidR="0044030A" w:rsidRPr="00133459" w:rsidRDefault="0036096C" w:rsidP="0062223C">
            <w:pPr>
              <w:pStyle w:val="TableParagraph"/>
              <w:spacing w:before="60" w:after="60"/>
              <w:jc w:val="center"/>
              <w:rPr>
                <w:rFonts w:ascii="Arial" w:eastAsia="Source Sans Pro" w:hAnsi="Arial" w:cs="Arial"/>
                <w:sz w:val="16"/>
                <w:szCs w:val="16"/>
              </w:rPr>
            </w:pPr>
            <w:r w:rsidRPr="00133459">
              <w:rPr>
                <w:rFonts w:ascii="Arial" w:eastAsia="Source Sans Pro" w:hAnsi="Arial" w:cs="Arial"/>
                <w:sz w:val="16"/>
                <w:szCs w:val="16"/>
              </w:rPr>
              <w:t>£</w:t>
            </w:r>
            <w:r w:rsidR="00133459" w:rsidRPr="00133459">
              <w:rPr>
                <w:rFonts w:ascii="Arial" w:eastAsia="Source Sans Pro" w:hAnsi="Arial" w:cs="Arial"/>
                <w:sz w:val="16"/>
                <w:szCs w:val="16"/>
              </w:rPr>
              <w:t>5</w:t>
            </w:r>
            <w:r w:rsidR="005672B5" w:rsidRPr="00133459">
              <w:rPr>
                <w:rFonts w:ascii="Arial" w:eastAsia="Source Sans Pro" w:hAnsi="Arial" w:cs="Arial"/>
                <w:sz w:val="16"/>
                <w:szCs w:val="16"/>
              </w:rPr>
              <w:t>0</w:t>
            </w:r>
            <w:r w:rsidRPr="00133459">
              <w:rPr>
                <w:rFonts w:ascii="Arial" w:eastAsia="Source Sans Pro" w:hAnsi="Arial" w:cs="Arial"/>
                <w:sz w:val="16"/>
                <w:szCs w:val="16"/>
              </w:rPr>
              <w:t>,000</w:t>
            </w:r>
          </w:p>
        </w:tc>
        <w:tc>
          <w:tcPr>
            <w:tcW w:w="2835" w:type="dxa"/>
            <w:tcBorders>
              <w:top w:val="single" w:sz="8" w:space="0" w:color="000000"/>
              <w:left w:val="single" w:sz="8" w:space="0" w:color="000000"/>
              <w:right w:val="single" w:sz="8" w:space="0" w:color="000000"/>
            </w:tcBorders>
          </w:tcPr>
          <w:p w14:paraId="38922C3E" w14:textId="0A5953EE" w:rsidR="0044030A" w:rsidRPr="00133459" w:rsidRDefault="0036096C" w:rsidP="0062223C">
            <w:pPr>
              <w:pStyle w:val="TableParagraph"/>
              <w:spacing w:before="60" w:after="60"/>
              <w:jc w:val="center"/>
              <w:rPr>
                <w:rFonts w:ascii="Arial" w:eastAsia="Source Sans Pro" w:hAnsi="Arial" w:cs="Arial"/>
                <w:sz w:val="16"/>
                <w:szCs w:val="16"/>
              </w:rPr>
            </w:pPr>
            <w:r w:rsidRPr="00133459">
              <w:rPr>
                <w:rFonts w:ascii="Arial" w:eastAsia="Source Sans Pro" w:hAnsi="Arial" w:cs="Arial"/>
                <w:sz w:val="16"/>
                <w:szCs w:val="16"/>
              </w:rPr>
              <w:t>£</w:t>
            </w:r>
            <w:r w:rsidR="00133459" w:rsidRPr="00133459">
              <w:rPr>
                <w:rFonts w:ascii="Arial" w:eastAsia="Source Sans Pro" w:hAnsi="Arial" w:cs="Arial"/>
                <w:sz w:val="16"/>
                <w:szCs w:val="16"/>
              </w:rPr>
              <w:t>5</w:t>
            </w:r>
            <w:r w:rsidR="005672B5" w:rsidRPr="00133459">
              <w:rPr>
                <w:rFonts w:ascii="Arial" w:eastAsia="Source Sans Pro" w:hAnsi="Arial" w:cs="Arial"/>
                <w:sz w:val="16"/>
                <w:szCs w:val="16"/>
              </w:rPr>
              <w:t>0,000</w:t>
            </w:r>
          </w:p>
        </w:tc>
      </w:tr>
      <w:tr w:rsidR="001427F1" w:rsidRPr="001427F1" w14:paraId="6B2A84E5" w14:textId="77777777" w:rsidTr="00F36F77">
        <w:trPr>
          <w:trHeight w:hRule="exact" w:val="283"/>
        </w:trPr>
        <w:tc>
          <w:tcPr>
            <w:tcW w:w="936" w:type="dxa"/>
            <w:tcBorders>
              <w:left w:val="single" w:sz="8" w:space="0" w:color="000000"/>
              <w:bottom w:val="nil"/>
              <w:right w:val="single" w:sz="8" w:space="0" w:color="000000"/>
            </w:tcBorders>
          </w:tcPr>
          <w:p w14:paraId="735E540C" w14:textId="77777777" w:rsidR="004520D5" w:rsidRPr="001977DC" w:rsidRDefault="004520D5" w:rsidP="004520D5">
            <w:pPr>
              <w:pStyle w:val="TableParagraph"/>
              <w:spacing w:before="60" w:after="60"/>
              <w:ind w:left="5"/>
              <w:jc w:val="center"/>
              <w:rPr>
                <w:rFonts w:ascii="Arial" w:eastAsia="Source Sans Pro" w:hAnsi="Arial" w:cs="Arial"/>
                <w:color w:val="000000" w:themeColor="text1"/>
                <w:sz w:val="15"/>
                <w:szCs w:val="15"/>
              </w:rPr>
            </w:pPr>
            <w:r w:rsidRPr="001977DC">
              <w:rPr>
                <w:rFonts w:ascii="Arial" w:hAnsi="Arial" w:cs="Arial"/>
                <w:b/>
                <w:color w:val="000000" w:themeColor="text1"/>
                <w:w w:val="105"/>
                <w:sz w:val="15"/>
              </w:rPr>
              <w:t>1</w:t>
            </w:r>
          </w:p>
        </w:tc>
        <w:tc>
          <w:tcPr>
            <w:tcW w:w="2506" w:type="dxa"/>
            <w:tcBorders>
              <w:left w:val="single" w:sz="8" w:space="0" w:color="000000"/>
              <w:bottom w:val="nil"/>
              <w:right w:val="single" w:sz="8" w:space="0" w:color="000000"/>
            </w:tcBorders>
            <w:vAlign w:val="bottom"/>
          </w:tcPr>
          <w:p w14:paraId="04CB49AC" w14:textId="3D0FB0E6" w:rsidR="004520D5" w:rsidRPr="001977DC" w:rsidRDefault="001977DC" w:rsidP="004520D5">
            <w:pPr>
              <w:pStyle w:val="TableParagraph"/>
              <w:spacing w:before="60" w:after="60"/>
              <w:jc w:val="center"/>
              <w:rPr>
                <w:rFonts w:ascii="Arial" w:eastAsia="Source Sans Pro" w:hAnsi="Arial" w:cs="Arial"/>
                <w:color w:val="000000" w:themeColor="text1"/>
                <w:sz w:val="16"/>
                <w:szCs w:val="16"/>
              </w:rPr>
            </w:pPr>
            <w:r w:rsidRPr="001977DC">
              <w:rPr>
                <w:rFonts w:ascii="Arial" w:eastAsia="Source Sans Pro" w:hAnsi="Arial" w:cs="Arial"/>
                <w:color w:val="000000" w:themeColor="text1"/>
                <w:sz w:val="16"/>
                <w:szCs w:val="16"/>
              </w:rPr>
              <w:t>£51,730</w:t>
            </w:r>
          </w:p>
        </w:tc>
        <w:tc>
          <w:tcPr>
            <w:tcW w:w="2835" w:type="dxa"/>
            <w:tcBorders>
              <w:left w:val="single" w:sz="8" w:space="0" w:color="000000"/>
              <w:bottom w:val="nil"/>
              <w:right w:val="single" w:sz="8" w:space="0" w:color="000000"/>
            </w:tcBorders>
            <w:vAlign w:val="bottom"/>
          </w:tcPr>
          <w:p w14:paraId="05D601F6" w14:textId="004A79B1" w:rsidR="004520D5" w:rsidRPr="001977DC" w:rsidRDefault="00F430BD" w:rsidP="004520D5">
            <w:pPr>
              <w:pStyle w:val="TableParagraph"/>
              <w:spacing w:before="60" w:after="60"/>
              <w:jc w:val="center"/>
              <w:rPr>
                <w:rFonts w:ascii="Arial" w:eastAsia="Source Sans Pro" w:hAnsi="Arial" w:cs="Arial"/>
                <w:color w:val="000000" w:themeColor="text1"/>
                <w:sz w:val="16"/>
                <w:szCs w:val="16"/>
              </w:rPr>
            </w:pPr>
            <w:r w:rsidRPr="001977DC">
              <w:rPr>
                <w:rFonts w:ascii="Arial" w:eastAsia="Source Sans Pro" w:hAnsi="Arial" w:cs="Arial"/>
                <w:color w:val="000000" w:themeColor="text1"/>
                <w:sz w:val="16"/>
                <w:szCs w:val="16"/>
              </w:rPr>
              <w:t>£</w:t>
            </w:r>
            <w:r w:rsidR="001977DC" w:rsidRPr="001977DC">
              <w:rPr>
                <w:rFonts w:ascii="Arial" w:eastAsia="Source Sans Pro" w:hAnsi="Arial" w:cs="Arial"/>
                <w:color w:val="000000" w:themeColor="text1"/>
                <w:sz w:val="16"/>
                <w:szCs w:val="16"/>
              </w:rPr>
              <w:t>50,030</w:t>
            </w:r>
          </w:p>
        </w:tc>
      </w:tr>
      <w:tr w:rsidR="001427F1" w:rsidRPr="001427F1" w14:paraId="552B6E4D" w14:textId="77777777" w:rsidTr="00F36F77">
        <w:trPr>
          <w:trHeight w:hRule="exact" w:val="281"/>
        </w:trPr>
        <w:tc>
          <w:tcPr>
            <w:tcW w:w="936" w:type="dxa"/>
            <w:tcBorders>
              <w:top w:val="nil"/>
              <w:left w:val="single" w:sz="8" w:space="0" w:color="000000"/>
              <w:bottom w:val="nil"/>
              <w:right w:val="single" w:sz="8" w:space="0" w:color="000000"/>
            </w:tcBorders>
          </w:tcPr>
          <w:p w14:paraId="593924B9" w14:textId="77777777" w:rsidR="004520D5" w:rsidRPr="001427F1" w:rsidRDefault="004520D5" w:rsidP="004520D5">
            <w:pPr>
              <w:pStyle w:val="TableParagraph"/>
              <w:spacing w:before="60" w:after="60"/>
              <w:ind w:left="5"/>
              <w:jc w:val="center"/>
              <w:rPr>
                <w:rFonts w:ascii="Arial" w:eastAsia="Source Sans Pro" w:hAnsi="Arial" w:cs="Arial"/>
                <w:color w:val="FF0000"/>
                <w:sz w:val="15"/>
                <w:szCs w:val="15"/>
              </w:rPr>
            </w:pPr>
            <w:r w:rsidRPr="001977DC">
              <w:rPr>
                <w:rFonts w:ascii="Arial" w:hAnsi="Arial" w:cs="Arial"/>
                <w:b/>
                <w:color w:val="000000" w:themeColor="text1"/>
                <w:w w:val="105"/>
                <w:sz w:val="15"/>
              </w:rPr>
              <w:t>2</w:t>
            </w:r>
          </w:p>
        </w:tc>
        <w:tc>
          <w:tcPr>
            <w:tcW w:w="2506" w:type="dxa"/>
            <w:tcBorders>
              <w:top w:val="nil"/>
              <w:left w:val="single" w:sz="8" w:space="0" w:color="000000"/>
              <w:bottom w:val="nil"/>
              <w:right w:val="single" w:sz="8" w:space="0" w:color="000000"/>
            </w:tcBorders>
            <w:vAlign w:val="bottom"/>
          </w:tcPr>
          <w:p w14:paraId="0042BDD4" w14:textId="744A2DDB" w:rsidR="004520D5" w:rsidRPr="001427F1" w:rsidRDefault="00726F00" w:rsidP="004520D5">
            <w:pPr>
              <w:pStyle w:val="TableParagraph"/>
              <w:spacing w:before="60" w:after="60"/>
              <w:jc w:val="center"/>
              <w:rPr>
                <w:rFonts w:ascii="Arial" w:eastAsia="Source Sans Pro" w:hAnsi="Arial" w:cs="Arial"/>
                <w:color w:val="FF0000"/>
                <w:sz w:val="16"/>
                <w:szCs w:val="16"/>
              </w:rPr>
            </w:pPr>
            <w:r w:rsidRPr="001977DC">
              <w:rPr>
                <w:rFonts w:ascii="Arial" w:eastAsia="Source Sans Pro" w:hAnsi="Arial" w:cs="Arial"/>
                <w:color w:val="000000" w:themeColor="text1"/>
                <w:sz w:val="16"/>
                <w:szCs w:val="16"/>
              </w:rPr>
              <w:t>£</w:t>
            </w:r>
            <w:r w:rsidR="001977DC" w:rsidRPr="001977DC">
              <w:rPr>
                <w:rFonts w:ascii="Arial" w:eastAsia="Source Sans Pro" w:hAnsi="Arial" w:cs="Arial"/>
                <w:color w:val="000000" w:themeColor="text1"/>
                <w:sz w:val="16"/>
                <w:szCs w:val="16"/>
              </w:rPr>
              <w:t>51</w:t>
            </w:r>
            <w:r w:rsidR="005672B5" w:rsidRPr="001977DC">
              <w:rPr>
                <w:rFonts w:ascii="Arial" w:eastAsia="Source Sans Pro" w:hAnsi="Arial" w:cs="Arial"/>
                <w:color w:val="000000" w:themeColor="text1"/>
                <w:sz w:val="16"/>
                <w:szCs w:val="16"/>
              </w:rPr>
              <w:t>,</w:t>
            </w:r>
            <w:r w:rsidR="001977DC" w:rsidRPr="001977DC">
              <w:rPr>
                <w:rFonts w:ascii="Arial" w:eastAsia="Source Sans Pro" w:hAnsi="Arial" w:cs="Arial"/>
                <w:color w:val="000000" w:themeColor="text1"/>
                <w:sz w:val="16"/>
                <w:szCs w:val="16"/>
              </w:rPr>
              <w:t>470</w:t>
            </w:r>
          </w:p>
        </w:tc>
        <w:tc>
          <w:tcPr>
            <w:tcW w:w="2835" w:type="dxa"/>
            <w:tcBorders>
              <w:top w:val="nil"/>
              <w:left w:val="single" w:sz="8" w:space="0" w:color="000000"/>
              <w:bottom w:val="nil"/>
              <w:right w:val="single" w:sz="8" w:space="0" w:color="000000"/>
            </w:tcBorders>
            <w:vAlign w:val="bottom"/>
          </w:tcPr>
          <w:p w14:paraId="1B7921B8" w14:textId="0CE7EE9F" w:rsidR="004520D5" w:rsidRPr="001977DC" w:rsidRDefault="00F430BD" w:rsidP="004520D5">
            <w:pPr>
              <w:pStyle w:val="TableParagraph"/>
              <w:spacing w:before="60" w:after="60"/>
              <w:jc w:val="center"/>
              <w:rPr>
                <w:rFonts w:ascii="Arial" w:eastAsia="Source Sans Pro" w:hAnsi="Arial" w:cs="Arial"/>
                <w:color w:val="000000" w:themeColor="text1"/>
                <w:sz w:val="16"/>
                <w:szCs w:val="16"/>
              </w:rPr>
            </w:pPr>
            <w:r w:rsidRPr="001977DC">
              <w:rPr>
                <w:rFonts w:ascii="Arial" w:eastAsia="Source Sans Pro" w:hAnsi="Arial" w:cs="Arial"/>
                <w:color w:val="000000" w:themeColor="text1"/>
                <w:sz w:val="16"/>
                <w:szCs w:val="16"/>
              </w:rPr>
              <w:t>£</w:t>
            </w:r>
            <w:r w:rsidR="001977DC" w:rsidRPr="001977DC">
              <w:rPr>
                <w:rFonts w:ascii="Arial" w:eastAsia="Source Sans Pro" w:hAnsi="Arial" w:cs="Arial"/>
                <w:color w:val="000000" w:themeColor="text1"/>
                <w:sz w:val="16"/>
                <w:szCs w:val="16"/>
              </w:rPr>
              <w:t>50,070</w:t>
            </w:r>
          </w:p>
        </w:tc>
      </w:tr>
      <w:tr w:rsidR="001427F1" w:rsidRPr="001427F1" w14:paraId="665ED79D" w14:textId="77777777" w:rsidTr="00F36F77">
        <w:trPr>
          <w:trHeight w:hRule="exact" w:val="281"/>
        </w:trPr>
        <w:tc>
          <w:tcPr>
            <w:tcW w:w="936" w:type="dxa"/>
            <w:tcBorders>
              <w:top w:val="nil"/>
              <w:left w:val="single" w:sz="8" w:space="0" w:color="000000"/>
              <w:bottom w:val="nil"/>
              <w:right w:val="single" w:sz="8" w:space="0" w:color="000000"/>
            </w:tcBorders>
          </w:tcPr>
          <w:p w14:paraId="7E3374DB" w14:textId="77777777" w:rsidR="004520D5" w:rsidRPr="001427F1" w:rsidRDefault="004520D5" w:rsidP="004520D5">
            <w:pPr>
              <w:pStyle w:val="TableParagraph"/>
              <w:spacing w:before="60" w:after="60"/>
              <w:ind w:left="5"/>
              <w:jc w:val="center"/>
              <w:rPr>
                <w:rFonts w:ascii="Arial" w:eastAsia="Source Sans Pro" w:hAnsi="Arial" w:cs="Arial"/>
                <w:color w:val="FF0000"/>
                <w:sz w:val="15"/>
                <w:szCs w:val="15"/>
              </w:rPr>
            </w:pPr>
            <w:r w:rsidRPr="001977DC">
              <w:rPr>
                <w:rFonts w:ascii="Arial" w:hAnsi="Arial" w:cs="Arial"/>
                <w:b/>
                <w:color w:val="000000" w:themeColor="text1"/>
                <w:w w:val="105"/>
                <w:sz w:val="15"/>
              </w:rPr>
              <w:t>3</w:t>
            </w:r>
          </w:p>
        </w:tc>
        <w:tc>
          <w:tcPr>
            <w:tcW w:w="2506" w:type="dxa"/>
            <w:tcBorders>
              <w:top w:val="nil"/>
              <w:left w:val="single" w:sz="8" w:space="0" w:color="000000"/>
              <w:bottom w:val="nil"/>
              <w:right w:val="single" w:sz="8" w:space="0" w:color="000000"/>
            </w:tcBorders>
            <w:vAlign w:val="bottom"/>
          </w:tcPr>
          <w:p w14:paraId="1717038D" w14:textId="0845BC88" w:rsidR="004520D5" w:rsidRPr="001427F1" w:rsidRDefault="004335F1" w:rsidP="004520D5">
            <w:pPr>
              <w:pStyle w:val="TableParagraph"/>
              <w:spacing w:before="60" w:after="60"/>
              <w:jc w:val="center"/>
              <w:rPr>
                <w:rFonts w:ascii="Arial" w:eastAsia="Source Sans Pro" w:hAnsi="Arial" w:cs="Arial"/>
                <w:color w:val="FF0000"/>
                <w:sz w:val="16"/>
                <w:szCs w:val="16"/>
              </w:rPr>
            </w:pPr>
            <w:r w:rsidRPr="001977DC">
              <w:rPr>
                <w:rFonts w:ascii="Arial" w:eastAsia="Source Sans Pro" w:hAnsi="Arial" w:cs="Arial"/>
                <w:color w:val="000000" w:themeColor="text1"/>
                <w:sz w:val="16"/>
                <w:szCs w:val="16"/>
              </w:rPr>
              <w:t>£</w:t>
            </w:r>
            <w:r w:rsidR="001977DC" w:rsidRPr="001977DC">
              <w:rPr>
                <w:rFonts w:ascii="Arial" w:eastAsia="Source Sans Pro" w:hAnsi="Arial" w:cs="Arial"/>
                <w:color w:val="000000" w:themeColor="text1"/>
                <w:sz w:val="16"/>
                <w:szCs w:val="16"/>
              </w:rPr>
              <w:t>52,230</w:t>
            </w:r>
          </w:p>
        </w:tc>
        <w:tc>
          <w:tcPr>
            <w:tcW w:w="2835" w:type="dxa"/>
            <w:tcBorders>
              <w:top w:val="nil"/>
              <w:left w:val="single" w:sz="8" w:space="0" w:color="000000"/>
              <w:bottom w:val="nil"/>
              <w:right w:val="single" w:sz="8" w:space="0" w:color="000000"/>
            </w:tcBorders>
            <w:vAlign w:val="bottom"/>
          </w:tcPr>
          <w:p w14:paraId="68EFF3CA" w14:textId="08E94A90" w:rsidR="004520D5" w:rsidRPr="001427F1" w:rsidRDefault="00F430BD" w:rsidP="004520D5">
            <w:pPr>
              <w:pStyle w:val="TableParagraph"/>
              <w:spacing w:before="60" w:after="60"/>
              <w:jc w:val="center"/>
              <w:rPr>
                <w:rFonts w:ascii="Arial" w:eastAsia="Source Sans Pro" w:hAnsi="Arial" w:cs="Arial"/>
                <w:color w:val="FF0000"/>
                <w:sz w:val="16"/>
                <w:szCs w:val="16"/>
              </w:rPr>
            </w:pPr>
            <w:r w:rsidRPr="001977DC">
              <w:rPr>
                <w:rFonts w:ascii="Arial" w:eastAsia="Source Sans Pro" w:hAnsi="Arial" w:cs="Arial"/>
                <w:color w:val="000000" w:themeColor="text1"/>
                <w:sz w:val="16"/>
                <w:szCs w:val="16"/>
              </w:rPr>
              <w:t>£</w:t>
            </w:r>
            <w:r w:rsidR="001977DC" w:rsidRPr="001977DC">
              <w:rPr>
                <w:rFonts w:ascii="Arial" w:eastAsia="Source Sans Pro" w:hAnsi="Arial" w:cs="Arial"/>
                <w:color w:val="000000" w:themeColor="text1"/>
                <w:sz w:val="16"/>
                <w:szCs w:val="16"/>
              </w:rPr>
              <w:t>50,100</w:t>
            </w:r>
          </w:p>
        </w:tc>
      </w:tr>
      <w:tr w:rsidR="001427F1" w:rsidRPr="001427F1" w14:paraId="603286C9" w14:textId="77777777" w:rsidTr="00F36F77">
        <w:trPr>
          <w:trHeight w:hRule="exact" w:val="281"/>
        </w:trPr>
        <w:tc>
          <w:tcPr>
            <w:tcW w:w="936" w:type="dxa"/>
            <w:tcBorders>
              <w:top w:val="nil"/>
              <w:left w:val="single" w:sz="8" w:space="0" w:color="000000"/>
              <w:bottom w:val="nil"/>
              <w:right w:val="single" w:sz="8" w:space="0" w:color="000000"/>
            </w:tcBorders>
          </w:tcPr>
          <w:p w14:paraId="5F828D68" w14:textId="77777777" w:rsidR="004520D5" w:rsidRPr="001427F1" w:rsidRDefault="004520D5" w:rsidP="004520D5">
            <w:pPr>
              <w:pStyle w:val="TableParagraph"/>
              <w:spacing w:before="60" w:after="60"/>
              <w:ind w:left="5"/>
              <w:jc w:val="center"/>
              <w:rPr>
                <w:rFonts w:ascii="Arial" w:eastAsia="Source Sans Pro" w:hAnsi="Arial" w:cs="Arial"/>
                <w:color w:val="FF0000"/>
                <w:sz w:val="15"/>
                <w:szCs w:val="15"/>
              </w:rPr>
            </w:pPr>
            <w:r w:rsidRPr="001977DC">
              <w:rPr>
                <w:rFonts w:ascii="Arial" w:hAnsi="Arial" w:cs="Arial"/>
                <w:b/>
                <w:color w:val="000000" w:themeColor="text1"/>
                <w:w w:val="105"/>
                <w:sz w:val="15"/>
              </w:rPr>
              <w:t>4</w:t>
            </w:r>
          </w:p>
        </w:tc>
        <w:tc>
          <w:tcPr>
            <w:tcW w:w="2506" w:type="dxa"/>
            <w:tcBorders>
              <w:top w:val="nil"/>
              <w:left w:val="single" w:sz="8" w:space="0" w:color="000000"/>
              <w:bottom w:val="nil"/>
              <w:right w:val="single" w:sz="8" w:space="0" w:color="000000"/>
            </w:tcBorders>
            <w:vAlign w:val="bottom"/>
          </w:tcPr>
          <w:p w14:paraId="2E77B3C9" w14:textId="2BBB2B30" w:rsidR="004520D5" w:rsidRPr="001427F1" w:rsidRDefault="004335F1" w:rsidP="004520D5">
            <w:pPr>
              <w:pStyle w:val="TableParagraph"/>
              <w:spacing w:before="60" w:after="60"/>
              <w:jc w:val="center"/>
              <w:rPr>
                <w:rFonts w:ascii="Arial" w:eastAsia="Source Sans Pro" w:hAnsi="Arial" w:cs="Arial"/>
                <w:color w:val="FF0000"/>
                <w:sz w:val="16"/>
                <w:szCs w:val="16"/>
              </w:rPr>
            </w:pPr>
            <w:r w:rsidRPr="001977DC">
              <w:rPr>
                <w:rFonts w:ascii="Arial" w:eastAsia="Source Sans Pro" w:hAnsi="Arial" w:cs="Arial"/>
                <w:color w:val="000000" w:themeColor="text1"/>
                <w:sz w:val="16"/>
                <w:szCs w:val="16"/>
              </w:rPr>
              <w:t>£</w:t>
            </w:r>
            <w:r w:rsidR="001977DC" w:rsidRPr="001977DC">
              <w:rPr>
                <w:rFonts w:ascii="Arial" w:eastAsia="Source Sans Pro" w:hAnsi="Arial" w:cs="Arial"/>
                <w:color w:val="000000" w:themeColor="text1"/>
                <w:sz w:val="16"/>
                <w:szCs w:val="16"/>
              </w:rPr>
              <w:t>52,990</w:t>
            </w:r>
          </w:p>
        </w:tc>
        <w:tc>
          <w:tcPr>
            <w:tcW w:w="2835" w:type="dxa"/>
            <w:tcBorders>
              <w:top w:val="nil"/>
              <w:left w:val="single" w:sz="8" w:space="0" w:color="000000"/>
              <w:bottom w:val="nil"/>
              <w:right w:val="single" w:sz="8" w:space="0" w:color="000000"/>
            </w:tcBorders>
            <w:vAlign w:val="bottom"/>
          </w:tcPr>
          <w:p w14:paraId="4138FA2A" w14:textId="4B48E2D4" w:rsidR="004520D5" w:rsidRPr="001427F1" w:rsidRDefault="009115C5" w:rsidP="004520D5">
            <w:pPr>
              <w:pStyle w:val="TableParagraph"/>
              <w:spacing w:before="60" w:after="60"/>
              <w:jc w:val="center"/>
              <w:rPr>
                <w:rFonts w:ascii="Arial" w:eastAsia="Source Sans Pro" w:hAnsi="Arial" w:cs="Arial"/>
                <w:color w:val="FF0000"/>
                <w:sz w:val="16"/>
                <w:szCs w:val="16"/>
              </w:rPr>
            </w:pPr>
            <w:r w:rsidRPr="001977DC">
              <w:rPr>
                <w:rFonts w:ascii="Arial" w:eastAsia="Source Sans Pro" w:hAnsi="Arial" w:cs="Arial"/>
                <w:color w:val="000000" w:themeColor="text1"/>
                <w:sz w:val="16"/>
                <w:szCs w:val="16"/>
              </w:rPr>
              <w:t>£</w:t>
            </w:r>
            <w:r w:rsidR="001977DC" w:rsidRPr="001977DC">
              <w:rPr>
                <w:rFonts w:ascii="Arial" w:eastAsia="Source Sans Pro" w:hAnsi="Arial" w:cs="Arial"/>
                <w:color w:val="000000" w:themeColor="text1"/>
                <w:sz w:val="16"/>
                <w:szCs w:val="16"/>
              </w:rPr>
              <w:t>50,130</w:t>
            </w:r>
          </w:p>
        </w:tc>
      </w:tr>
      <w:tr w:rsidR="001427F1" w:rsidRPr="001427F1" w14:paraId="2CEA38D8" w14:textId="77777777" w:rsidTr="00F36F77">
        <w:trPr>
          <w:trHeight w:hRule="exact" w:val="281"/>
        </w:trPr>
        <w:tc>
          <w:tcPr>
            <w:tcW w:w="936" w:type="dxa"/>
            <w:tcBorders>
              <w:top w:val="nil"/>
              <w:left w:val="single" w:sz="8" w:space="0" w:color="000000"/>
              <w:right w:val="single" w:sz="8" w:space="0" w:color="000000"/>
            </w:tcBorders>
          </w:tcPr>
          <w:p w14:paraId="0D69B8FF" w14:textId="77777777" w:rsidR="004520D5" w:rsidRPr="001427F1" w:rsidRDefault="004520D5" w:rsidP="004520D5">
            <w:pPr>
              <w:pStyle w:val="TableParagraph"/>
              <w:spacing w:before="60" w:after="60"/>
              <w:ind w:left="5"/>
              <w:jc w:val="center"/>
              <w:rPr>
                <w:rFonts w:ascii="Arial" w:eastAsia="Source Sans Pro" w:hAnsi="Arial" w:cs="Arial"/>
                <w:color w:val="FF0000"/>
                <w:sz w:val="15"/>
                <w:szCs w:val="15"/>
              </w:rPr>
            </w:pPr>
            <w:r w:rsidRPr="001977DC">
              <w:rPr>
                <w:rFonts w:ascii="Arial" w:hAnsi="Arial" w:cs="Arial"/>
                <w:b/>
                <w:color w:val="000000" w:themeColor="text1"/>
                <w:w w:val="105"/>
                <w:sz w:val="15"/>
              </w:rPr>
              <w:t>5</w:t>
            </w:r>
          </w:p>
        </w:tc>
        <w:tc>
          <w:tcPr>
            <w:tcW w:w="2506" w:type="dxa"/>
            <w:tcBorders>
              <w:top w:val="nil"/>
              <w:left w:val="single" w:sz="8" w:space="0" w:color="000000"/>
              <w:right w:val="single" w:sz="8" w:space="0" w:color="000000"/>
            </w:tcBorders>
            <w:vAlign w:val="bottom"/>
          </w:tcPr>
          <w:p w14:paraId="2BEAB84C" w14:textId="65896725" w:rsidR="004520D5" w:rsidRPr="001427F1" w:rsidRDefault="00F430BD" w:rsidP="004520D5">
            <w:pPr>
              <w:pStyle w:val="TableParagraph"/>
              <w:spacing w:before="60" w:after="60"/>
              <w:jc w:val="center"/>
              <w:rPr>
                <w:rFonts w:ascii="Arial" w:eastAsia="Source Sans Pro" w:hAnsi="Arial" w:cs="Arial"/>
                <w:color w:val="FF0000"/>
                <w:sz w:val="16"/>
                <w:szCs w:val="16"/>
              </w:rPr>
            </w:pPr>
            <w:r w:rsidRPr="001977DC">
              <w:rPr>
                <w:rFonts w:ascii="Arial" w:eastAsia="Source Sans Pro" w:hAnsi="Arial" w:cs="Arial"/>
                <w:color w:val="000000" w:themeColor="text1"/>
                <w:sz w:val="16"/>
                <w:szCs w:val="16"/>
              </w:rPr>
              <w:t>£</w:t>
            </w:r>
            <w:r w:rsidR="001977DC" w:rsidRPr="001977DC">
              <w:rPr>
                <w:rFonts w:ascii="Arial" w:eastAsia="Source Sans Pro" w:hAnsi="Arial" w:cs="Arial"/>
                <w:color w:val="000000" w:themeColor="text1"/>
                <w:sz w:val="16"/>
                <w:szCs w:val="16"/>
              </w:rPr>
              <w:t>53,770</w:t>
            </w:r>
          </w:p>
        </w:tc>
        <w:tc>
          <w:tcPr>
            <w:tcW w:w="2835" w:type="dxa"/>
            <w:tcBorders>
              <w:top w:val="nil"/>
              <w:left w:val="single" w:sz="8" w:space="0" w:color="000000"/>
              <w:right w:val="single" w:sz="8" w:space="0" w:color="000000"/>
            </w:tcBorders>
            <w:vAlign w:val="bottom"/>
          </w:tcPr>
          <w:p w14:paraId="66AD1526" w14:textId="17C9E6D8" w:rsidR="004520D5" w:rsidRPr="001427F1" w:rsidRDefault="009115C5" w:rsidP="004520D5">
            <w:pPr>
              <w:pStyle w:val="TableParagraph"/>
              <w:spacing w:before="60" w:after="60"/>
              <w:jc w:val="center"/>
              <w:rPr>
                <w:rFonts w:ascii="Arial" w:eastAsia="Source Sans Pro" w:hAnsi="Arial" w:cs="Arial"/>
                <w:color w:val="FF0000"/>
                <w:sz w:val="16"/>
                <w:szCs w:val="16"/>
              </w:rPr>
            </w:pPr>
            <w:r w:rsidRPr="001977DC">
              <w:rPr>
                <w:rFonts w:ascii="Arial" w:eastAsia="Source Sans Pro" w:hAnsi="Arial" w:cs="Arial"/>
                <w:color w:val="000000" w:themeColor="text1"/>
                <w:sz w:val="16"/>
                <w:szCs w:val="16"/>
              </w:rPr>
              <w:t>£</w:t>
            </w:r>
            <w:r w:rsidR="001977DC" w:rsidRPr="001977DC">
              <w:rPr>
                <w:rFonts w:ascii="Arial" w:eastAsia="Source Sans Pro" w:hAnsi="Arial" w:cs="Arial"/>
                <w:color w:val="000000" w:themeColor="text1"/>
                <w:sz w:val="16"/>
                <w:szCs w:val="16"/>
              </w:rPr>
              <w:t>50,170</w:t>
            </w:r>
          </w:p>
        </w:tc>
      </w:tr>
      <w:tr w:rsidR="001427F1" w:rsidRPr="001427F1" w14:paraId="6BB55758" w14:textId="77777777" w:rsidTr="00F36F77">
        <w:trPr>
          <w:trHeight w:hRule="exact" w:val="281"/>
        </w:trPr>
        <w:tc>
          <w:tcPr>
            <w:tcW w:w="936" w:type="dxa"/>
            <w:tcBorders>
              <w:top w:val="nil"/>
              <w:left w:val="single" w:sz="8" w:space="0" w:color="000000"/>
              <w:bottom w:val="single" w:sz="4" w:space="0" w:color="auto"/>
              <w:right w:val="single" w:sz="8" w:space="0" w:color="000000"/>
            </w:tcBorders>
          </w:tcPr>
          <w:p w14:paraId="30938FDC" w14:textId="77777777" w:rsidR="004520D5" w:rsidRPr="001427F1" w:rsidRDefault="004520D5" w:rsidP="004520D5">
            <w:pPr>
              <w:pStyle w:val="TableParagraph"/>
              <w:spacing w:before="60" w:after="60"/>
              <w:ind w:left="4"/>
              <w:jc w:val="center"/>
              <w:rPr>
                <w:rFonts w:ascii="Arial" w:eastAsia="Source Sans Pro" w:hAnsi="Arial" w:cs="Arial"/>
                <w:color w:val="FF0000"/>
                <w:sz w:val="15"/>
                <w:szCs w:val="15"/>
              </w:rPr>
            </w:pPr>
            <w:r w:rsidRPr="001977DC">
              <w:rPr>
                <w:rFonts w:ascii="Arial" w:hAnsi="Arial" w:cs="Arial"/>
                <w:b/>
                <w:color w:val="000000" w:themeColor="text1"/>
                <w:spacing w:val="-1"/>
                <w:w w:val="105"/>
                <w:sz w:val="15"/>
              </w:rPr>
              <w:t>10</w:t>
            </w:r>
          </w:p>
        </w:tc>
        <w:tc>
          <w:tcPr>
            <w:tcW w:w="2506" w:type="dxa"/>
            <w:tcBorders>
              <w:top w:val="nil"/>
              <w:left w:val="single" w:sz="8" w:space="0" w:color="000000"/>
              <w:bottom w:val="single" w:sz="4" w:space="0" w:color="auto"/>
              <w:right w:val="single" w:sz="8" w:space="0" w:color="000000"/>
            </w:tcBorders>
            <w:vAlign w:val="bottom"/>
          </w:tcPr>
          <w:p w14:paraId="2802B926" w14:textId="053F2272" w:rsidR="004520D5" w:rsidRPr="001427F1" w:rsidRDefault="004335F1" w:rsidP="004520D5">
            <w:pPr>
              <w:pStyle w:val="TableParagraph"/>
              <w:spacing w:before="60" w:after="60"/>
              <w:jc w:val="center"/>
              <w:rPr>
                <w:rFonts w:ascii="Arial" w:eastAsia="Source Sans Pro" w:hAnsi="Arial" w:cs="Arial"/>
                <w:color w:val="FF0000"/>
                <w:sz w:val="16"/>
                <w:szCs w:val="16"/>
              </w:rPr>
            </w:pPr>
            <w:r w:rsidRPr="001977DC">
              <w:rPr>
                <w:rFonts w:ascii="Arial" w:eastAsia="Source Sans Pro" w:hAnsi="Arial" w:cs="Arial"/>
                <w:color w:val="000000" w:themeColor="text1"/>
                <w:sz w:val="16"/>
                <w:szCs w:val="16"/>
              </w:rPr>
              <w:t>£</w:t>
            </w:r>
            <w:r w:rsidR="001977DC" w:rsidRPr="001977DC">
              <w:rPr>
                <w:rFonts w:ascii="Arial" w:eastAsia="Source Sans Pro" w:hAnsi="Arial" w:cs="Arial"/>
                <w:color w:val="000000" w:themeColor="text1"/>
                <w:sz w:val="16"/>
                <w:szCs w:val="16"/>
              </w:rPr>
              <w:t>57,820</w:t>
            </w:r>
          </w:p>
        </w:tc>
        <w:tc>
          <w:tcPr>
            <w:tcW w:w="2835" w:type="dxa"/>
            <w:tcBorders>
              <w:top w:val="nil"/>
              <w:left w:val="single" w:sz="8" w:space="0" w:color="000000"/>
              <w:bottom w:val="single" w:sz="4" w:space="0" w:color="auto"/>
              <w:right w:val="single" w:sz="8" w:space="0" w:color="000000"/>
            </w:tcBorders>
            <w:vAlign w:val="bottom"/>
          </w:tcPr>
          <w:p w14:paraId="0B85B290" w14:textId="7D0A57D2" w:rsidR="004520D5" w:rsidRPr="001427F1" w:rsidRDefault="001977DC" w:rsidP="004520D5">
            <w:pPr>
              <w:pStyle w:val="TableParagraph"/>
              <w:spacing w:before="60" w:after="60"/>
              <w:jc w:val="center"/>
              <w:rPr>
                <w:rFonts w:ascii="Arial" w:eastAsia="Source Sans Pro" w:hAnsi="Arial" w:cs="Arial"/>
                <w:color w:val="FF0000"/>
                <w:sz w:val="16"/>
                <w:szCs w:val="16"/>
              </w:rPr>
            </w:pPr>
            <w:r w:rsidRPr="001977DC">
              <w:rPr>
                <w:rFonts w:ascii="Arial" w:eastAsia="Source Sans Pro" w:hAnsi="Arial" w:cs="Arial"/>
                <w:color w:val="000000" w:themeColor="text1"/>
                <w:sz w:val="16"/>
                <w:szCs w:val="16"/>
              </w:rPr>
              <w:t>£50,340</w:t>
            </w:r>
          </w:p>
        </w:tc>
      </w:tr>
    </w:tbl>
    <w:p w14:paraId="6171239D" w14:textId="0D7EEE78" w:rsidR="0005496F" w:rsidRPr="00133459" w:rsidRDefault="00127EB4" w:rsidP="0005496F">
      <w:pPr>
        <w:spacing w:after="0" w:line="240" w:lineRule="auto"/>
        <w:ind w:left="0" w:firstLine="0"/>
        <w:rPr>
          <w:rFonts w:asciiTheme="majorHAnsi" w:hAnsiTheme="majorHAnsi" w:cstheme="majorHAnsi"/>
          <w:sz w:val="16"/>
          <w:szCs w:val="16"/>
        </w:rPr>
      </w:pPr>
      <w:r w:rsidRPr="001427F1">
        <w:rPr>
          <w:rFonts w:asciiTheme="majorHAnsi" w:hAnsiTheme="majorHAnsi" w:cstheme="majorHAnsi"/>
          <w:color w:val="FF0000"/>
          <w:sz w:val="16"/>
          <w:szCs w:val="16"/>
        </w:rPr>
        <w:lastRenderedPageBreak/>
        <w:t xml:space="preserve">  </w:t>
      </w:r>
      <w:r w:rsidRPr="00133459">
        <w:rPr>
          <w:rFonts w:asciiTheme="majorHAnsi" w:hAnsiTheme="majorHAnsi" w:cstheme="majorHAnsi"/>
          <w:sz w:val="16"/>
          <w:szCs w:val="16"/>
        </w:rPr>
        <w:t>Source: W</w:t>
      </w:r>
      <w:r w:rsidR="00496BD9" w:rsidRPr="00133459">
        <w:rPr>
          <w:rFonts w:asciiTheme="majorHAnsi" w:hAnsiTheme="majorHAnsi" w:cstheme="majorHAnsi"/>
          <w:sz w:val="16"/>
          <w:szCs w:val="16"/>
        </w:rPr>
        <w:t>TW</w:t>
      </w:r>
    </w:p>
    <w:p w14:paraId="4C7027E9" w14:textId="5142A552" w:rsidR="0005496F" w:rsidRPr="00133459" w:rsidRDefault="004D4B6F" w:rsidP="00C8437E">
      <w:pPr>
        <w:spacing w:after="0" w:line="240" w:lineRule="auto"/>
        <w:ind w:left="0" w:firstLine="0"/>
        <w:jc w:val="both"/>
        <w:rPr>
          <w:rFonts w:asciiTheme="majorHAnsi" w:hAnsiTheme="majorHAnsi" w:cstheme="majorHAnsi"/>
          <w:sz w:val="20"/>
          <w:szCs w:val="20"/>
        </w:rPr>
      </w:pPr>
      <w:r w:rsidRPr="00133459">
        <w:rPr>
          <w:rFonts w:asciiTheme="majorHAnsi" w:hAnsiTheme="majorHAnsi" w:cstheme="majorHAnsi"/>
          <w:sz w:val="20"/>
          <w:szCs w:val="20"/>
        </w:rPr>
        <w:t>Assumption</w:t>
      </w:r>
      <w:r w:rsidR="0005496F" w:rsidRPr="00133459">
        <w:rPr>
          <w:rFonts w:asciiTheme="majorHAnsi" w:hAnsiTheme="majorHAnsi" w:cstheme="majorHAnsi"/>
          <w:sz w:val="20"/>
          <w:szCs w:val="20"/>
        </w:rPr>
        <w:t>s</w:t>
      </w:r>
      <w:r w:rsidR="006973A2" w:rsidRPr="00133459">
        <w:rPr>
          <w:rFonts w:asciiTheme="majorHAnsi" w:hAnsiTheme="majorHAnsi" w:cstheme="majorHAnsi"/>
          <w:sz w:val="20"/>
          <w:szCs w:val="20"/>
        </w:rPr>
        <w:t xml:space="preserve"> for Transfer Accounts in Prudential policy TTP0062</w:t>
      </w:r>
    </w:p>
    <w:p w14:paraId="05B7E260" w14:textId="2DF324B6" w:rsidR="0005496F" w:rsidRPr="00133459" w:rsidRDefault="00FC26AF" w:rsidP="00C8437E">
      <w:pPr>
        <w:pStyle w:val="ListParagraph"/>
        <w:numPr>
          <w:ilvl w:val="0"/>
          <w:numId w:val="27"/>
        </w:numPr>
        <w:spacing w:after="0" w:line="240" w:lineRule="auto"/>
        <w:jc w:val="both"/>
        <w:rPr>
          <w:rFonts w:asciiTheme="majorHAnsi" w:hAnsiTheme="majorHAnsi" w:cstheme="majorHAnsi"/>
          <w:sz w:val="20"/>
          <w:szCs w:val="20"/>
        </w:rPr>
      </w:pPr>
      <w:r w:rsidRPr="00133459">
        <w:rPr>
          <w:rFonts w:asciiTheme="majorHAnsi" w:hAnsiTheme="majorHAnsi" w:cstheme="majorHAnsi"/>
          <w:sz w:val="20"/>
          <w:szCs w:val="20"/>
        </w:rPr>
        <w:t>The following assumptions have been used when</w:t>
      </w:r>
      <w:r w:rsidR="0005496F" w:rsidRPr="00133459">
        <w:rPr>
          <w:rFonts w:asciiTheme="majorHAnsi" w:hAnsiTheme="majorHAnsi" w:cstheme="majorHAnsi"/>
          <w:sz w:val="20"/>
          <w:szCs w:val="20"/>
        </w:rPr>
        <w:t xml:space="preserve"> producing the above illustrations:</w:t>
      </w:r>
    </w:p>
    <w:p w14:paraId="7A743059" w14:textId="37711B4C" w:rsidR="0005496F" w:rsidRPr="00133459" w:rsidRDefault="00FC26AF" w:rsidP="00C8437E">
      <w:pPr>
        <w:pStyle w:val="ListParagraph"/>
        <w:numPr>
          <w:ilvl w:val="1"/>
          <w:numId w:val="27"/>
        </w:numPr>
        <w:spacing w:after="0" w:line="240" w:lineRule="auto"/>
        <w:jc w:val="both"/>
        <w:rPr>
          <w:rFonts w:asciiTheme="majorHAnsi" w:hAnsiTheme="majorHAnsi" w:cstheme="majorHAnsi"/>
          <w:sz w:val="20"/>
          <w:szCs w:val="20"/>
        </w:rPr>
      </w:pPr>
      <w:r w:rsidRPr="00133459">
        <w:rPr>
          <w:rFonts w:asciiTheme="majorHAnsi" w:hAnsiTheme="majorHAnsi" w:cstheme="majorHAnsi"/>
          <w:sz w:val="20"/>
          <w:szCs w:val="20"/>
        </w:rPr>
        <w:t>A starting pot of £</w:t>
      </w:r>
      <w:r w:rsidR="00133459" w:rsidRPr="00133459">
        <w:rPr>
          <w:rFonts w:asciiTheme="majorHAnsi" w:hAnsiTheme="majorHAnsi" w:cstheme="majorHAnsi"/>
          <w:sz w:val="20"/>
          <w:szCs w:val="20"/>
        </w:rPr>
        <w:t>5</w:t>
      </w:r>
      <w:r w:rsidR="00FC31C7" w:rsidRPr="00133459">
        <w:rPr>
          <w:rFonts w:asciiTheme="majorHAnsi" w:hAnsiTheme="majorHAnsi" w:cstheme="majorHAnsi"/>
          <w:sz w:val="20"/>
          <w:szCs w:val="20"/>
        </w:rPr>
        <w:t>0</w:t>
      </w:r>
      <w:r w:rsidR="0005496F" w:rsidRPr="00133459">
        <w:rPr>
          <w:rFonts w:asciiTheme="majorHAnsi" w:hAnsiTheme="majorHAnsi" w:cstheme="majorHAnsi"/>
          <w:sz w:val="20"/>
          <w:szCs w:val="20"/>
        </w:rPr>
        <w:t>,000, which is rep</w:t>
      </w:r>
      <w:r w:rsidRPr="00133459">
        <w:rPr>
          <w:rFonts w:asciiTheme="majorHAnsi" w:hAnsiTheme="majorHAnsi" w:cstheme="majorHAnsi"/>
          <w:sz w:val="20"/>
          <w:szCs w:val="20"/>
        </w:rPr>
        <w:t xml:space="preserve">resentative of </w:t>
      </w:r>
      <w:r w:rsidR="00FE6B0D" w:rsidRPr="00133459">
        <w:rPr>
          <w:rFonts w:asciiTheme="majorHAnsi" w:hAnsiTheme="majorHAnsi" w:cstheme="majorHAnsi"/>
          <w:sz w:val="20"/>
          <w:szCs w:val="20"/>
        </w:rPr>
        <w:t xml:space="preserve">the fund values for </w:t>
      </w:r>
      <w:r w:rsidRPr="00133459">
        <w:rPr>
          <w:rFonts w:asciiTheme="majorHAnsi" w:hAnsiTheme="majorHAnsi" w:cstheme="majorHAnsi"/>
          <w:sz w:val="20"/>
          <w:szCs w:val="20"/>
        </w:rPr>
        <w:t xml:space="preserve">members with </w:t>
      </w:r>
      <w:r w:rsidR="00331F28" w:rsidRPr="00133459">
        <w:rPr>
          <w:rFonts w:asciiTheme="majorHAnsi" w:hAnsiTheme="majorHAnsi" w:cstheme="majorHAnsi"/>
          <w:sz w:val="20"/>
          <w:szCs w:val="20"/>
        </w:rPr>
        <w:t>a Transfer Account</w:t>
      </w:r>
      <w:r w:rsidR="00170007" w:rsidRPr="00133459">
        <w:rPr>
          <w:rFonts w:asciiTheme="majorHAnsi" w:hAnsiTheme="majorHAnsi" w:cstheme="majorHAnsi"/>
          <w:sz w:val="20"/>
          <w:szCs w:val="20"/>
        </w:rPr>
        <w:t xml:space="preserve"> invested in Prudential policy TTP0062</w:t>
      </w:r>
      <w:r w:rsidR="007C2AA3" w:rsidRPr="00133459">
        <w:rPr>
          <w:rFonts w:asciiTheme="majorHAnsi" w:hAnsiTheme="majorHAnsi" w:cstheme="majorHAnsi"/>
          <w:sz w:val="20"/>
          <w:szCs w:val="20"/>
        </w:rPr>
        <w:t>.</w:t>
      </w:r>
    </w:p>
    <w:p w14:paraId="566FBE5E" w14:textId="129452F0" w:rsidR="0005496F" w:rsidRPr="00133459" w:rsidRDefault="0005496F" w:rsidP="00C8437E">
      <w:pPr>
        <w:pStyle w:val="ListParagraph"/>
        <w:numPr>
          <w:ilvl w:val="1"/>
          <w:numId w:val="27"/>
        </w:numPr>
        <w:spacing w:after="0" w:line="240" w:lineRule="auto"/>
        <w:jc w:val="both"/>
        <w:rPr>
          <w:rFonts w:asciiTheme="majorHAnsi" w:hAnsiTheme="majorHAnsi" w:cstheme="majorHAnsi"/>
          <w:sz w:val="20"/>
          <w:szCs w:val="20"/>
        </w:rPr>
      </w:pPr>
      <w:r w:rsidRPr="00133459">
        <w:rPr>
          <w:rFonts w:asciiTheme="majorHAnsi" w:hAnsiTheme="majorHAnsi" w:cstheme="majorHAnsi"/>
          <w:sz w:val="20"/>
          <w:szCs w:val="20"/>
        </w:rPr>
        <w:t>Investment growth rates and costs and charges as per the table above</w:t>
      </w:r>
      <w:r w:rsidR="002030E4" w:rsidRPr="00133459">
        <w:rPr>
          <w:rFonts w:asciiTheme="majorHAnsi" w:hAnsiTheme="majorHAnsi" w:cstheme="majorHAnsi"/>
          <w:sz w:val="20"/>
          <w:szCs w:val="20"/>
        </w:rPr>
        <w:t xml:space="preserve"> (transaction costs have been averaged</w:t>
      </w:r>
      <w:r w:rsidR="00B212B1" w:rsidRPr="00133459">
        <w:rPr>
          <w:rFonts w:asciiTheme="majorHAnsi" w:hAnsiTheme="majorHAnsi" w:cstheme="majorHAnsi"/>
          <w:sz w:val="20"/>
          <w:szCs w:val="20"/>
        </w:rPr>
        <w:t xml:space="preserve"> over the previous </w:t>
      </w:r>
      <w:r w:rsidR="00F3317C" w:rsidRPr="00133459">
        <w:rPr>
          <w:rFonts w:asciiTheme="majorHAnsi" w:hAnsiTheme="majorHAnsi" w:cstheme="majorHAnsi"/>
          <w:sz w:val="20"/>
          <w:szCs w:val="20"/>
        </w:rPr>
        <w:t>four</w:t>
      </w:r>
      <w:r w:rsidR="00B212B1" w:rsidRPr="00133459">
        <w:rPr>
          <w:rFonts w:asciiTheme="majorHAnsi" w:hAnsiTheme="majorHAnsi" w:cstheme="majorHAnsi"/>
          <w:sz w:val="20"/>
          <w:szCs w:val="20"/>
        </w:rPr>
        <w:t xml:space="preserve"> Scheme years)</w:t>
      </w:r>
      <w:r w:rsidRPr="00133459">
        <w:rPr>
          <w:rFonts w:asciiTheme="majorHAnsi" w:hAnsiTheme="majorHAnsi" w:cstheme="majorHAnsi"/>
          <w:sz w:val="20"/>
          <w:szCs w:val="20"/>
        </w:rPr>
        <w:t>.</w:t>
      </w:r>
    </w:p>
    <w:p w14:paraId="17E6F5B1" w14:textId="77777777" w:rsidR="0005496F" w:rsidRPr="00133459" w:rsidRDefault="0005496F" w:rsidP="00C8437E">
      <w:pPr>
        <w:pStyle w:val="ListParagraph"/>
        <w:numPr>
          <w:ilvl w:val="0"/>
          <w:numId w:val="27"/>
        </w:numPr>
        <w:spacing w:after="0" w:line="240" w:lineRule="auto"/>
        <w:jc w:val="both"/>
        <w:rPr>
          <w:rFonts w:asciiTheme="majorHAnsi" w:hAnsiTheme="majorHAnsi" w:cstheme="majorHAnsi"/>
          <w:sz w:val="20"/>
          <w:szCs w:val="20"/>
        </w:rPr>
      </w:pPr>
      <w:r w:rsidRPr="00133459">
        <w:rPr>
          <w:rFonts w:asciiTheme="majorHAnsi" w:hAnsiTheme="majorHAnsi" w:cstheme="majorHAnsi"/>
          <w:sz w:val="20"/>
          <w:szCs w:val="20"/>
        </w:rPr>
        <w:t>Projected values are shown in today’s terms with future inflation assumed to be 2.5% p.a.</w:t>
      </w:r>
    </w:p>
    <w:p w14:paraId="126C3D1A" w14:textId="008B9E1F" w:rsidR="00254E38" w:rsidRPr="00133459" w:rsidRDefault="0005496F" w:rsidP="00C8437E">
      <w:pPr>
        <w:pStyle w:val="ListParagraph"/>
        <w:numPr>
          <w:ilvl w:val="0"/>
          <w:numId w:val="27"/>
        </w:numPr>
        <w:spacing w:after="240" w:line="240" w:lineRule="auto"/>
        <w:jc w:val="both"/>
        <w:rPr>
          <w:rFonts w:asciiTheme="majorHAnsi" w:hAnsiTheme="majorHAnsi" w:cstheme="majorHAnsi"/>
          <w:sz w:val="20"/>
          <w:szCs w:val="20"/>
        </w:rPr>
      </w:pPr>
      <w:r w:rsidRPr="00133459">
        <w:rPr>
          <w:rFonts w:asciiTheme="majorHAnsi" w:hAnsiTheme="majorHAnsi" w:cstheme="majorHAnsi"/>
          <w:sz w:val="20"/>
          <w:szCs w:val="20"/>
        </w:rPr>
        <w:t>Values shown are estimates and are not guaranteed.</w:t>
      </w:r>
    </w:p>
    <w:p w14:paraId="4A2BAA5A" w14:textId="77777777" w:rsidR="00A56BBB" w:rsidRDefault="00A56BBB" w:rsidP="00C8437E">
      <w:pPr>
        <w:spacing w:line="240" w:lineRule="auto"/>
        <w:ind w:left="0" w:firstLine="0"/>
        <w:jc w:val="both"/>
        <w:rPr>
          <w:i/>
          <w:color w:val="000000" w:themeColor="text1"/>
          <w:sz w:val="20"/>
          <w:szCs w:val="20"/>
        </w:rPr>
      </w:pPr>
    </w:p>
    <w:p w14:paraId="79D9FADF" w14:textId="0DF52D37" w:rsidR="00BB3815" w:rsidRPr="009501A6" w:rsidRDefault="006973A2" w:rsidP="00C8437E">
      <w:pPr>
        <w:spacing w:line="240" w:lineRule="auto"/>
        <w:ind w:left="0" w:firstLine="0"/>
        <w:jc w:val="both"/>
        <w:rPr>
          <w:i/>
          <w:color w:val="000000" w:themeColor="text1"/>
          <w:sz w:val="20"/>
          <w:szCs w:val="20"/>
        </w:rPr>
      </w:pPr>
      <w:r w:rsidRPr="009501A6">
        <w:rPr>
          <w:i/>
          <w:color w:val="000000" w:themeColor="text1"/>
          <w:sz w:val="20"/>
          <w:szCs w:val="20"/>
        </w:rPr>
        <w:t xml:space="preserve">Prudential </w:t>
      </w:r>
      <w:r w:rsidR="00BB3815" w:rsidRPr="009501A6">
        <w:rPr>
          <w:i/>
          <w:color w:val="000000" w:themeColor="text1"/>
          <w:sz w:val="20"/>
          <w:szCs w:val="20"/>
        </w:rPr>
        <w:t>Policy M028</w:t>
      </w:r>
    </w:p>
    <w:p w14:paraId="3A7A3439" w14:textId="4B645944" w:rsidR="00BB3815" w:rsidRPr="009501A6" w:rsidRDefault="00BB3815" w:rsidP="00C8437E">
      <w:pPr>
        <w:spacing w:line="240" w:lineRule="auto"/>
        <w:ind w:left="0" w:firstLine="0"/>
        <w:jc w:val="both"/>
        <w:rPr>
          <w:color w:val="000000" w:themeColor="text1"/>
          <w:sz w:val="20"/>
          <w:szCs w:val="20"/>
        </w:rPr>
      </w:pPr>
      <w:r w:rsidRPr="009501A6">
        <w:rPr>
          <w:color w:val="000000" w:themeColor="text1"/>
          <w:sz w:val="20"/>
          <w:szCs w:val="20"/>
        </w:rPr>
        <w:t>Illustrations have been prepared for the four funds that make up the lifestyle strategy in which all members are invested under policy M028. These are:</w:t>
      </w:r>
    </w:p>
    <w:p w14:paraId="7D32483E" w14:textId="7B9057B6" w:rsidR="00BB3815" w:rsidRPr="009501A6" w:rsidRDefault="00331F28" w:rsidP="00C8437E">
      <w:pPr>
        <w:pStyle w:val="ListParagraph"/>
        <w:numPr>
          <w:ilvl w:val="0"/>
          <w:numId w:val="25"/>
        </w:numPr>
        <w:spacing w:before="60" w:after="0" w:line="240" w:lineRule="auto"/>
        <w:ind w:left="714" w:hanging="357"/>
        <w:contextualSpacing/>
        <w:jc w:val="both"/>
        <w:rPr>
          <w:color w:val="000000" w:themeColor="text1"/>
          <w:sz w:val="20"/>
          <w:szCs w:val="20"/>
        </w:rPr>
      </w:pPr>
      <w:r w:rsidRPr="009501A6">
        <w:rPr>
          <w:color w:val="000000" w:themeColor="text1"/>
          <w:sz w:val="20"/>
          <w:szCs w:val="20"/>
        </w:rPr>
        <w:t xml:space="preserve">The </w:t>
      </w:r>
      <w:r w:rsidR="00B212B1" w:rsidRPr="009501A6">
        <w:rPr>
          <w:color w:val="000000" w:themeColor="text1"/>
          <w:sz w:val="20"/>
          <w:szCs w:val="20"/>
        </w:rPr>
        <w:t>Prudential Dynamic Global Equity Passive</w:t>
      </w:r>
      <w:r w:rsidRPr="009501A6">
        <w:rPr>
          <w:color w:val="000000" w:themeColor="text1"/>
          <w:sz w:val="20"/>
          <w:szCs w:val="20"/>
        </w:rPr>
        <w:t xml:space="preserve"> fund</w:t>
      </w:r>
      <w:r w:rsidR="007C2AA3" w:rsidRPr="009501A6">
        <w:rPr>
          <w:color w:val="000000" w:themeColor="text1"/>
          <w:sz w:val="20"/>
          <w:szCs w:val="20"/>
        </w:rPr>
        <w:t>.</w:t>
      </w:r>
    </w:p>
    <w:p w14:paraId="0D0A750D" w14:textId="5F090AFF" w:rsidR="00BB3815" w:rsidRPr="009501A6" w:rsidRDefault="00331F28" w:rsidP="00C8437E">
      <w:pPr>
        <w:pStyle w:val="ListParagraph"/>
        <w:numPr>
          <w:ilvl w:val="0"/>
          <w:numId w:val="25"/>
        </w:numPr>
        <w:spacing w:before="60" w:after="0" w:line="240" w:lineRule="auto"/>
        <w:ind w:left="714" w:hanging="357"/>
        <w:jc w:val="both"/>
        <w:rPr>
          <w:color w:val="000000" w:themeColor="text1"/>
          <w:sz w:val="20"/>
          <w:szCs w:val="20"/>
        </w:rPr>
      </w:pPr>
      <w:r w:rsidRPr="009501A6">
        <w:rPr>
          <w:color w:val="000000" w:themeColor="text1"/>
          <w:sz w:val="20"/>
          <w:szCs w:val="20"/>
        </w:rPr>
        <w:t xml:space="preserve">The </w:t>
      </w:r>
      <w:r w:rsidR="00B212B1" w:rsidRPr="009501A6">
        <w:rPr>
          <w:color w:val="000000" w:themeColor="text1"/>
          <w:sz w:val="20"/>
          <w:szCs w:val="20"/>
        </w:rPr>
        <w:t xml:space="preserve">Prudential </w:t>
      </w:r>
      <w:r w:rsidRPr="009501A6">
        <w:rPr>
          <w:color w:val="000000" w:themeColor="text1"/>
          <w:sz w:val="20"/>
          <w:szCs w:val="20"/>
        </w:rPr>
        <w:t>BlackRock All Stocks Corporate Bond Index fund</w:t>
      </w:r>
      <w:r w:rsidR="007C2AA3" w:rsidRPr="009501A6">
        <w:rPr>
          <w:color w:val="000000" w:themeColor="text1"/>
          <w:sz w:val="20"/>
          <w:szCs w:val="20"/>
        </w:rPr>
        <w:t>.</w:t>
      </w:r>
    </w:p>
    <w:p w14:paraId="686697A4" w14:textId="478BA607" w:rsidR="00BB3815" w:rsidRPr="009501A6" w:rsidRDefault="00331F28" w:rsidP="00C8437E">
      <w:pPr>
        <w:pStyle w:val="ListParagraph"/>
        <w:numPr>
          <w:ilvl w:val="0"/>
          <w:numId w:val="25"/>
        </w:numPr>
        <w:spacing w:before="60" w:after="0" w:line="240" w:lineRule="auto"/>
        <w:ind w:left="714" w:hanging="357"/>
        <w:jc w:val="both"/>
        <w:rPr>
          <w:color w:val="000000" w:themeColor="text1"/>
          <w:sz w:val="20"/>
          <w:szCs w:val="20"/>
        </w:rPr>
      </w:pPr>
      <w:r w:rsidRPr="009501A6">
        <w:rPr>
          <w:color w:val="000000" w:themeColor="text1"/>
          <w:sz w:val="20"/>
          <w:szCs w:val="20"/>
        </w:rPr>
        <w:t xml:space="preserve">The </w:t>
      </w:r>
      <w:r w:rsidR="00B212B1" w:rsidRPr="009501A6">
        <w:rPr>
          <w:color w:val="000000" w:themeColor="text1"/>
          <w:sz w:val="20"/>
          <w:szCs w:val="20"/>
        </w:rPr>
        <w:t xml:space="preserve">Prudential </w:t>
      </w:r>
      <w:r w:rsidRPr="009501A6">
        <w:rPr>
          <w:color w:val="000000" w:themeColor="text1"/>
          <w:sz w:val="20"/>
          <w:szCs w:val="20"/>
        </w:rPr>
        <w:t>BlackRock</w:t>
      </w:r>
      <w:r w:rsidR="00BB3815" w:rsidRPr="009501A6">
        <w:rPr>
          <w:color w:val="000000" w:themeColor="text1"/>
          <w:sz w:val="20"/>
          <w:szCs w:val="20"/>
        </w:rPr>
        <w:t xml:space="preserve"> Over 15 Year</w:t>
      </w:r>
      <w:r w:rsidRPr="009501A6">
        <w:rPr>
          <w:color w:val="000000" w:themeColor="text1"/>
          <w:sz w:val="20"/>
          <w:szCs w:val="20"/>
        </w:rPr>
        <w:t>s Gilt Index fund</w:t>
      </w:r>
      <w:r w:rsidR="007C2AA3" w:rsidRPr="009501A6">
        <w:rPr>
          <w:color w:val="000000" w:themeColor="text1"/>
          <w:sz w:val="20"/>
          <w:szCs w:val="20"/>
        </w:rPr>
        <w:t>.</w:t>
      </w:r>
    </w:p>
    <w:p w14:paraId="67CDC14E" w14:textId="52B915BD" w:rsidR="00BB3815" w:rsidRPr="009501A6" w:rsidRDefault="00331F28" w:rsidP="00C8437E">
      <w:pPr>
        <w:pStyle w:val="ListParagraph"/>
        <w:numPr>
          <w:ilvl w:val="0"/>
          <w:numId w:val="25"/>
        </w:numPr>
        <w:spacing w:before="60" w:after="240" w:line="240" w:lineRule="auto"/>
        <w:ind w:left="714" w:hanging="357"/>
        <w:jc w:val="both"/>
        <w:rPr>
          <w:color w:val="000000" w:themeColor="text1"/>
          <w:sz w:val="20"/>
          <w:szCs w:val="20"/>
        </w:rPr>
      </w:pPr>
      <w:r w:rsidRPr="009501A6">
        <w:rPr>
          <w:color w:val="000000" w:themeColor="text1"/>
          <w:sz w:val="20"/>
          <w:szCs w:val="20"/>
        </w:rPr>
        <w:t xml:space="preserve">The </w:t>
      </w:r>
      <w:r w:rsidR="004C1F3D" w:rsidRPr="009501A6">
        <w:rPr>
          <w:color w:val="000000" w:themeColor="text1"/>
          <w:sz w:val="20"/>
          <w:szCs w:val="20"/>
        </w:rPr>
        <w:t xml:space="preserve">Prudential </w:t>
      </w:r>
      <w:r w:rsidR="00BB3815" w:rsidRPr="009501A6">
        <w:rPr>
          <w:color w:val="000000" w:themeColor="text1"/>
          <w:sz w:val="20"/>
          <w:szCs w:val="20"/>
        </w:rPr>
        <w:t>Cash</w:t>
      </w:r>
      <w:r w:rsidR="004C1F3D" w:rsidRPr="009501A6">
        <w:rPr>
          <w:color w:val="000000" w:themeColor="text1"/>
          <w:sz w:val="20"/>
          <w:szCs w:val="20"/>
        </w:rPr>
        <w:t xml:space="preserve"> </w:t>
      </w:r>
      <w:r w:rsidRPr="009501A6">
        <w:rPr>
          <w:color w:val="000000" w:themeColor="text1"/>
          <w:sz w:val="20"/>
          <w:szCs w:val="20"/>
        </w:rPr>
        <w:t>fund</w:t>
      </w:r>
      <w:r w:rsidR="007C2AA3" w:rsidRPr="009501A6">
        <w:rPr>
          <w:color w:val="000000" w:themeColor="text1"/>
          <w:sz w:val="20"/>
          <w:szCs w:val="20"/>
        </w:rPr>
        <w:t>.</w:t>
      </w:r>
    </w:p>
    <w:tbl>
      <w:tblPr>
        <w:tblW w:w="9963" w:type="dxa"/>
        <w:tblInd w:w="92" w:type="dxa"/>
        <w:tblLayout w:type="fixed"/>
        <w:tblCellMar>
          <w:left w:w="0" w:type="dxa"/>
          <w:right w:w="0" w:type="dxa"/>
        </w:tblCellMar>
        <w:tblLook w:val="01E0" w:firstRow="1" w:lastRow="1" w:firstColumn="1" w:lastColumn="1" w:noHBand="0" w:noVBand="0"/>
      </w:tblPr>
      <w:tblGrid>
        <w:gridCol w:w="607"/>
        <w:gridCol w:w="1134"/>
        <w:gridCol w:w="1134"/>
        <w:gridCol w:w="1276"/>
        <w:gridCol w:w="1134"/>
        <w:gridCol w:w="1134"/>
        <w:gridCol w:w="1134"/>
        <w:gridCol w:w="1134"/>
        <w:gridCol w:w="1276"/>
      </w:tblGrid>
      <w:tr w:rsidR="009501A6" w:rsidRPr="009501A6" w14:paraId="4B1B534D" w14:textId="71B26CA7" w:rsidTr="00CF529B">
        <w:trPr>
          <w:trHeight w:hRule="exact" w:val="829"/>
        </w:trPr>
        <w:tc>
          <w:tcPr>
            <w:tcW w:w="607" w:type="dxa"/>
            <w:tcBorders>
              <w:top w:val="single" w:sz="8" w:space="0" w:color="000000"/>
              <w:left w:val="single" w:sz="8" w:space="0" w:color="000000"/>
              <w:right w:val="single" w:sz="8" w:space="0" w:color="000000"/>
            </w:tcBorders>
            <w:shd w:val="clear" w:color="auto" w:fill="F2F2F2" w:themeFill="background1" w:themeFillShade="F2"/>
          </w:tcPr>
          <w:p w14:paraId="65393762" w14:textId="77777777" w:rsidR="00CF529B" w:rsidRPr="009501A6" w:rsidRDefault="00CF529B" w:rsidP="006419ED">
            <w:pPr>
              <w:rPr>
                <w:rFonts w:ascii="Arial" w:hAnsi="Arial" w:cs="Arial"/>
                <w:color w:val="000000" w:themeColor="text1"/>
              </w:rPr>
            </w:pPr>
          </w:p>
        </w:tc>
        <w:tc>
          <w:tcPr>
            <w:tcW w:w="9356" w:type="dxa"/>
            <w:gridSpan w:val="8"/>
            <w:tcBorders>
              <w:top w:val="single" w:sz="8" w:space="0" w:color="000000"/>
              <w:left w:val="single" w:sz="8" w:space="0" w:color="000000"/>
              <w:bottom w:val="single" w:sz="8" w:space="0" w:color="000000"/>
              <w:right w:val="single" w:sz="8" w:space="0" w:color="000000"/>
            </w:tcBorders>
            <w:shd w:val="clear" w:color="auto" w:fill="F1F1F1"/>
            <w:vAlign w:val="center"/>
          </w:tcPr>
          <w:p w14:paraId="64FF49C3" w14:textId="2695E7E6" w:rsidR="00CF529B" w:rsidRPr="009501A6" w:rsidRDefault="00CF529B" w:rsidP="006419ED">
            <w:pPr>
              <w:pStyle w:val="TableParagraph"/>
              <w:spacing w:before="10"/>
              <w:jc w:val="center"/>
              <w:rPr>
                <w:rFonts w:ascii="Arial" w:hAnsi="Arial" w:cs="Arial"/>
                <w:b/>
                <w:color w:val="000000" w:themeColor="text1"/>
                <w:spacing w:val="-1"/>
                <w:sz w:val="19"/>
              </w:rPr>
            </w:pPr>
            <w:r w:rsidRPr="009501A6">
              <w:rPr>
                <w:rFonts w:ascii="Arial" w:hAnsi="Arial" w:cs="Arial"/>
                <w:b/>
                <w:color w:val="000000" w:themeColor="text1"/>
                <w:spacing w:val="-1"/>
                <w:sz w:val="19"/>
              </w:rPr>
              <w:t>Illustrations</w:t>
            </w:r>
            <w:r w:rsidRPr="009501A6">
              <w:rPr>
                <w:rFonts w:ascii="Arial" w:hAnsi="Arial" w:cs="Arial"/>
                <w:b/>
                <w:color w:val="000000" w:themeColor="text1"/>
                <w:spacing w:val="8"/>
                <w:sz w:val="19"/>
              </w:rPr>
              <w:t xml:space="preserve"> </w:t>
            </w:r>
            <w:r w:rsidRPr="009501A6">
              <w:rPr>
                <w:rFonts w:ascii="Arial" w:hAnsi="Arial" w:cs="Arial"/>
                <w:b/>
                <w:color w:val="000000" w:themeColor="text1"/>
                <w:sz w:val="19"/>
              </w:rPr>
              <w:t>of</w:t>
            </w:r>
            <w:r w:rsidRPr="009501A6">
              <w:rPr>
                <w:rFonts w:ascii="Arial" w:hAnsi="Arial" w:cs="Arial"/>
                <w:b/>
                <w:color w:val="000000" w:themeColor="text1"/>
                <w:spacing w:val="11"/>
                <w:sz w:val="19"/>
              </w:rPr>
              <w:t xml:space="preserve"> the </w:t>
            </w:r>
            <w:r w:rsidRPr="009501A6">
              <w:rPr>
                <w:rFonts w:ascii="Arial" w:hAnsi="Arial" w:cs="Arial"/>
                <w:b/>
                <w:color w:val="000000" w:themeColor="text1"/>
                <w:sz w:val="19"/>
              </w:rPr>
              <w:t>effect</w:t>
            </w:r>
            <w:r w:rsidRPr="009501A6">
              <w:rPr>
                <w:rFonts w:ascii="Arial" w:hAnsi="Arial" w:cs="Arial"/>
                <w:b/>
                <w:color w:val="000000" w:themeColor="text1"/>
                <w:spacing w:val="10"/>
                <w:sz w:val="19"/>
              </w:rPr>
              <w:t xml:space="preserve"> </w:t>
            </w:r>
            <w:r w:rsidRPr="009501A6">
              <w:rPr>
                <w:rFonts w:ascii="Arial" w:hAnsi="Arial" w:cs="Arial"/>
                <w:b/>
                <w:color w:val="000000" w:themeColor="text1"/>
                <w:sz w:val="19"/>
              </w:rPr>
              <w:t>of</w:t>
            </w:r>
            <w:r w:rsidRPr="009501A6">
              <w:rPr>
                <w:rFonts w:ascii="Arial" w:hAnsi="Arial" w:cs="Arial"/>
                <w:b/>
                <w:color w:val="000000" w:themeColor="text1"/>
                <w:spacing w:val="11"/>
                <w:sz w:val="19"/>
              </w:rPr>
              <w:t xml:space="preserve"> </w:t>
            </w:r>
            <w:r w:rsidRPr="009501A6">
              <w:rPr>
                <w:rFonts w:ascii="Arial" w:hAnsi="Arial" w:cs="Arial"/>
                <w:b/>
                <w:color w:val="000000" w:themeColor="text1"/>
                <w:sz w:val="19"/>
              </w:rPr>
              <w:t>costs</w:t>
            </w:r>
            <w:r w:rsidRPr="009501A6">
              <w:rPr>
                <w:rFonts w:ascii="Arial" w:hAnsi="Arial" w:cs="Arial"/>
                <w:b/>
                <w:color w:val="000000" w:themeColor="text1"/>
                <w:spacing w:val="10"/>
                <w:sz w:val="19"/>
              </w:rPr>
              <w:t xml:space="preserve"> </w:t>
            </w:r>
            <w:r w:rsidRPr="009501A6">
              <w:rPr>
                <w:rFonts w:ascii="Arial" w:hAnsi="Arial" w:cs="Arial"/>
                <w:b/>
                <w:color w:val="000000" w:themeColor="text1"/>
                <w:spacing w:val="-1"/>
                <w:sz w:val="19"/>
              </w:rPr>
              <w:t>and</w:t>
            </w:r>
            <w:r w:rsidRPr="009501A6">
              <w:rPr>
                <w:rFonts w:ascii="Arial" w:hAnsi="Arial" w:cs="Arial"/>
                <w:b/>
                <w:color w:val="000000" w:themeColor="text1"/>
                <w:spacing w:val="9"/>
                <w:sz w:val="19"/>
              </w:rPr>
              <w:t xml:space="preserve"> </w:t>
            </w:r>
            <w:r w:rsidRPr="009501A6">
              <w:rPr>
                <w:rFonts w:ascii="Arial" w:hAnsi="Arial" w:cs="Arial"/>
                <w:b/>
                <w:color w:val="000000" w:themeColor="text1"/>
                <w:spacing w:val="-1"/>
                <w:sz w:val="19"/>
              </w:rPr>
              <w:t>charges</w:t>
            </w:r>
            <w:r w:rsidRPr="009501A6">
              <w:rPr>
                <w:rFonts w:ascii="Arial" w:hAnsi="Arial" w:cs="Arial"/>
                <w:b/>
                <w:color w:val="000000" w:themeColor="text1"/>
                <w:spacing w:val="10"/>
                <w:sz w:val="19"/>
              </w:rPr>
              <w:t xml:space="preserve"> </w:t>
            </w:r>
            <w:r w:rsidRPr="009501A6">
              <w:rPr>
                <w:rFonts w:ascii="Arial" w:hAnsi="Arial" w:cs="Arial"/>
                <w:b/>
                <w:color w:val="000000" w:themeColor="text1"/>
                <w:sz w:val="19"/>
              </w:rPr>
              <w:t>for</w:t>
            </w:r>
            <w:r w:rsidRPr="009501A6">
              <w:rPr>
                <w:rFonts w:ascii="Arial" w:hAnsi="Arial" w:cs="Arial"/>
                <w:b/>
                <w:color w:val="000000" w:themeColor="text1"/>
                <w:spacing w:val="9"/>
                <w:sz w:val="19"/>
              </w:rPr>
              <w:t xml:space="preserve"> </w:t>
            </w:r>
            <w:r w:rsidR="00E720B3" w:rsidRPr="009501A6">
              <w:rPr>
                <w:rFonts w:ascii="Arial" w:hAnsi="Arial" w:cs="Arial"/>
                <w:b/>
                <w:color w:val="000000" w:themeColor="text1"/>
                <w:spacing w:val="9"/>
                <w:sz w:val="19"/>
              </w:rPr>
              <w:t xml:space="preserve">the </w:t>
            </w:r>
            <w:r w:rsidRPr="009501A6">
              <w:rPr>
                <w:rFonts w:ascii="Arial" w:hAnsi="Arial" w:cs="Arial"/>
                <w:b/>
                <w:color w:val="000000" w:themeColor="text1"/>
                <w:spacing w:val="-1"/>
                <w:sz w:val="19"/>
              </w:rPr>
              <w:t>funds</w:t>
            </w:r>
            <w:r w:rsidR="00E720B3" w:rsidRPr="009501A6">
              <w:rPr>
                <w:rFonts w:ascii="Arial" w:hAnsi="Arial" w:cs="Arial"/>
                <w:b/>
                <w:color w:val="000000" w:themeColor="text1"/>
                <w:spacing w:val="-1"/>
                <w:sz w:val="19"/>
              </w:rPr>
              <w:t xml:space="preserve"> that make up the lifestyle investment strategy</w:t>
            </w:r>
            <w:r w:rsidR="00E720B3" w:rsidRPr="009501A6">
              <w:rPr>
                <w:rFonts w:ascii="Arial" w:hAnsi="Arial" w:cs="Arial"/>
                <w:b/>
                <w:color w:val="000000" w:themeColor="text1"/>
                <w:spacing w:val="11"/>
                <w:sz w:val="19"/>
              </w:rPr>
              <w:t xml:space="preserve"> under Prudential </w:t>
            </w:r>
            <w:r w:rsidRPr="009501A6">
              <w:rPr>
                <w:rFonts w:ascii="Arial" w:hAnsi="Arial" w:cs="Arial"/>
                <w:b/>
                <w:color w:val="000000" w:themeColor="text1"/>
                <w:spacing w:val="11"/>
                <w:sz w:val="19"/>
              </w:rPr>
              <w:t>policy M028</w:t>
            </w:r>
          </w:p>
        </w:tc>
      </w:tr>
      <w:tr w:rsidR="009501A6" w:rsidRPr="009501A6" w14:paraId="59454D75" w14:textId="30BDAADD" w:rsidTr="006E33CC">
        <w:trPr>
          <w:trHeight w:hRule="exact" w:val="762"/>
        </w:trPr>
        <w:tc>
          <w:tcPr>
            <w:tcW w:w="607" w:type="dxa"/>
            <w:vMerge w:val="restart"/>
            <w:tcBorders>
              <w:top w:val="single" w:sz="8" w:space="0" w:color="000000"/>
              <w:left w:val="single" w:sz="8" w:space="0" w:color="000000"/>
              <w:right w:val="single" w:sz="8" w:space="0" w:color="000000"/>
            </w:tcBorders>
            <w:shd w:val="clear" w:color="auto" w:fill="F2F2F2" w:themeFill="background1" w:themeFillShade="F2"/>
          </w:tcPr>
          <w:p w14:paraId="72578364" w14:textId="77777777" w:rsidR="00CF529B" w:rsidRPr="009501A6" w:rsidRDefault="00CF529B" w:rsidP="006419ED">
            <w:pPr>
              <w:rPr>
                <w:rFonts w:ascii="Arial" w:hAnsi="Arial" w:cs="Arial"/>
                <w:color w:val="000000" w:themeColor="text1"/>
              </w:rPr>
            </w:pP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22588C0A" w14:textId="23347EA3" w:rsidR="00CF529B" w:rsidRPr="009501A6" w:rsidRDefault="00245C58" w:rsidP="00245C58">
            <w:pPr>
              <w:pStyle w:val="TableParagraph"/>
              <w:spacing w:line="288" w:lineRule="auto"/>
              <w:jc w:val="center"/>
              <w:rPr>
                <w:rFonts w:ascii="Arial" w:eastAsia="Source Sans Pro" w:hAnsi="Arial" w:cs="Arial"/>
                <w:b/>
                <w:bCs/>
                <w:color w:val="000000" w:themeColor="text1"/>
                <w:sz w:val="16"/>
                <w:szCs w:val="16"/>
              </w:rPr>
            </w:pPr>
            <w:r w:rsidRPr="009501A6">
              <w:rPr>
                <w:rFonts w:ascii="Arial" w:eastAsia="Source Sans Pro" w:hAnsi="Arial" w:cs="Arial"/>
                <w:b/>
                <w:bCs/>
                <w:color w:val="000000" w:themeColor="text1"/>
                <w:sz w:val="16"/>
                <w:szCs w:val="16"/>
              </w:rPr>
              <w:t xml:space="preserve">Prudential </w:t>
            </w:r>
            <w:r w:rsidR="007A47B7" w:rsidRPr="009501A6">
              <w:rPr>
                <w:rFonts w:ascii="Arial" w:eastAsia="Source Sans Pro" w:hAnsi="Arial" w:cs="Arial"/>
                <w:b/>
                <w:bCs/>
                <w:color w:val="000000" w:themeColor="text1"/>
                <w:sz w:val="16"/>
                <w:szCs w:val="16"/>
              </w:rPr>
              <w:t>Dynamic Global Equity Passive</w:t>
            </w:r>
            <w:r w:rsidR="006E33CC" w:rsidRPr="009501A6">
              <w:rPr>
                <w:rFonts w:ascii="Arial" w:eastAsia="Source Sans Pro" w:hAnsi="Arial" w:cs="Arial"/>
                <w:b/>
                <w:bCs/>
                <w:color w:val="000000" w:themeColor="text1"/>
                <w:sz w:val="16"/>
                <w:szCs w:val="16"/>
              </w:rPr>
              <w:t xml:space="preserve"> </w:t>
            </w:r>
            <w:r w:rsidR="00CF529B" w:rsidRPr="009501A6">
              <w:rPr>
                <w:rFonts w:ascii="Arial" w:eastAsia="Source Sans Pro" w:hAnsi="Arial" w:cs="Arial"/>
                <w:b/>
                <w:bCs/>
                <w:color w:val="000000" w:themeColor="text1"/>
                <w:sz w:val="16"/>
                <w:szCs w:val="16"/>
              </w:rPr>
              <w:t>fund</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05ABD065" w14:textId="77777777" w:rsidR="00527CD9" w:rsidRPr="009501A6" w:rsidRDefault="007A47B7" w:rsidP="006E33CC">
            <w:pPr>
              <w:pStyle w:val="TableParagraph"/>
              <w:spacing w:line="288" w:lineRule="auto"/>
              <w:jc w:val="center"/>
              <w:rPr>
                <w:rFonts w:ascii="Arial" w:hAnsi="Arial" w:cs="Arial"/>
                <w:b/>
                <w:color w:val="000000" w:themeColor="text1"/>
                <w:w w:val="105"/>
                <w:sz w:val="16"/>
                <w:szCs w:val="16"/>
              </w:rPr>
            </w:pPr>
            <w:r w:rsidRPr="009501A6">
              <w:rPr>
                <w:rFonts w:ascii="Arial" w:hAnsi="Arial" w:cs="Arial"/>
                <w:b/>
                <w:color w:val="000000" w:themeColor="text1"/>
                <w:w w:val="105"/>
                <w:sz w:val="16"/>
                <w:szCs w:val="16"/>
              </w:rPr>
              <w:t xml:space="preserve">Prudential </w:t>
            </w:r>
            <w:r w:rsidR="006E33CC" w:rsidRPr="009501A6">
              <w:rPr>
                <w:rFonts w:ascii="Arial" w:hAnsi="Arial" w:cs="Arial"/>
                <w:b/>
                <w:color w:val="000000" w:themeColor="text1"/>
                <w:w w:val="105"/>
                <w:sz w:val="16"/>
                <w:szCs w:val="16"/>
              </w:rPr>
              <w:t>BlackRock</w:t>
            </w:r>
            <w:r w:rsidR="00CF529B" w:rsidRPr="009501A6">
              <w:rPr>
                <w:rFonts w:ascii="Arial" w:hAnsi="Arial" w:cs="Arial"/>
                <w:b/>
                <w:color w:val="000000" w:themeColor="text1"/>
                <w:w w:val="105"/>
                <w:sz w:val="16"/>
                <w:szCs w:val="16"/>
              </w:rPr>
              <w:t xml:space="preserve"> All Stocks Corporate Bond</w:t>
            </w:r>
          </w:p>
          <w:p w14:paraId="3A012716" w14:textId="3FE31510" w:rsidR="00CF529B" w:rsidRPr="009501A6" w:rsidRDefault="006E33CC" w:rsidP="006E33CC">
            <w:pPr>
              <w:pStyle w:val="TableParagraph"/>
              <w:spacing w:line="288" w:lineRule="auto"/>
              <w:jc w:val="center"/>
              <w:rPr>
                <w:rFonts w:ascii="Arial" w:hAnsi="Arial" w:cs="Arial"/>
                <w:b/>
                <w:color w:val="000000" w:themeColor="text1"/>
                <w:spacing w:val="-1"/>
                <w:w w:val="105"/>
                <w:sz w:val="16"/>
                <w:szCs w:val="16"/>
              </w:rPr>
            </w:pPr>
            <w:r w:rsidRPr="009501A6">
              <w:rPr>
                <w:rFonts w:ascii="Arial" w:hAnsi="Arial" w:cs="Arial"/>
                <w:b/>
                <w:color w:val="000000" w:themeColor="text1"/>
                <w:w w:val="105"/>
                <w:sz w:val="16"/>
                <w:szCs w:val="16"/>
              </w:rPr>
              <w:t>Index</w:t>
            </w:r>
            <w:r w:rsidR="00CF529B" w:rsidRPr="009501A6">
              <w:rPr>
                <w:rFonts w:ascii="Arial" w:hAnsi="Arial" w:cs="Arial"/>
                <w:b/>
                <w:color w:val="000000" w:themeColor="text1"/>
                <w:w w:val="105"/>
                <w:sz w:val="16"/>
                <w:szCs w:val="16"/>
              </w:rPr>
              <w:t xml:space="preserve"> fund</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2A206393" w14:textId="77777777" w:rsidR="00527CD9" w:rsidRPr="009501A6" w:rsidRDefault="007A47B7" w:rsidP="00527CD9">
            <w:pPr>
              <w:pStyle w:val="TableParagraph"/>
              <w:spacing w:line="288" w:lineRule="auto"/>
              <w:jc w:val="center"/>
              <w:rPr>
                <w:rFonts w:ascii="Arial" w:hAnsi="Arial" w:cs="Arial"/>
                <w:b/>
                <w:color w:val="000000" w:themeColor="text1"/>
                <w:w w:val="105"/>
                <w:sz w:val="16"/>
                <w:szCs w:val="16"/>
              </w:rPr>
            </w:pPr>
            <w:r w:rsidRPr="009501A6">
              <w:rPr>
                <w:rFonts w:ascii="Arial" w:hAnsi="Arial" w:cs="Arial"/>
                <w:b/>
                <w:color w:val="000000" w:themeColor="text1"/>
                <w:w w:val="105"/>
                <w:sz w:val="16"/>
                <w:szCs w:val="16"/>
              </w:rPr>
              <w:t xml:space="preserve">Prudential </w:t>
            </w:r>
            <w:r w:rsidR="006E33CC" w:rsidRPr="009501A6">
              <w:rPr>
                <w:rFonts w:ascii="Arial" w:hAnsi="Arial" w:cs="Arial"/>
                <w:b/>
                <w:color w:val="000000" w:themeColor="text1"/>
                <w:w w:val="105"/>
                <w:sz w:val="16"/>
                <w:szCs w:val="16"/>
              </w:rPr>
              <w:t>BlackRock</w:t>
            </w:r>
            <w:r w:rsidR="00CF529B" w:rsidRPr="009501A6">
              <w:rPr>
                <w:rFonts w:ascii="Arial" w:hAnsi="Arial" w:cs="Arial"/>
                <w:b/>
                <w:color w:val="000000" w:themeColor="text1"/>
                <w:w w:val="105"/>
                <w:sz w:val="16"/>
                <w:szCs w:val="16"/>
              </w:rPr>
              <w:t xml:space="preserve"> Over 15 Years</w:t>
            </w:r>
            <w:r w:rsidR="00527CD9" w:rsidRPr="009501A6">
              <w:rPr>
                <w:rFonts w:ascii="Arial" w:hAnsi="Arial" w:cs="Arial"/>
                <w:b/>
                <w:color w:val="000000" w:themeColor="text1"/>
                <w:w w:val="105"/>
                <w:sz w:val="16"/>
                <w:szCs w:val="16"/>
              </w:rPr>
              <w:t xml:space="preserve"> </w:t>
            </w:r>
            <w:r w:rsidR="006E33CC" w:rsidRPr="009501A6">
              <w:rPr>
                <w:rFonts w:ascii="Arial" w:hAnsi="Arial" w:cs="Arial"/>
                <w:b/>
                <w:color w:val="000000" w:themeColor="text1"/>
                <w:w w:val="105"/>
                <w:sz w:val="16"/>
                <w:szCs w:val="16"/>
              </w:rPr>
              <w:t>Gilt</w:t>
            </w:r>
          </w:p>
          <w:p w14:paraId="36B37E80" w14:textId="565586C7" w:rsidR="00CF529B" w:rsidRPr="009501A6" w:rsidRDefault="006E33CC" w:rsidP="00527CD9">
            <w:pPr>
              <w:pStyle w:val="TableParagraph"/>
              <w:spacing w:line="288" w:lineRule="auto"/>
              <w:jc w:val="center"/>
              <w:rPr>
                <w:rFonts w:ascii="Arial" w:hAnsi="Arial" w:cs="Arial"/>
                <w:b/>
                <w:color w:val="000000" w:themeColor="text1"/>
                <w:w w:val="105"/>
                <w:sz w:val="16"/>
                <w:szCs w:val="16"/>
              </w:rPr>
            </w:pPr>
            <w:r w:rsidRPr="009501A6">
              <w:rPr>
                <w:rFonts w:ascii="Arial" w:hAnsi="Arial" w:cs="Arial"/>
                <w:b/>
                <w:color w:val="000000" w:themeColor="text1"/>
                <w:w w:val="105"/>
                <w:sz w:val="16"/>
                <w:szCs w:val="16"/>
              </w:rPr>
              <w:t>Index</w:t>
            </w:r>
            <w:r w:rsidR="00CF529B" w:rsidRPr="009501A6">
              <w:rPr>
                <w:rFonts w:ascii="Arial" w:hAnsi="Arial" w:cs="Arial"/>
                <w:b/>
                <w:color w:val="000000" w:themeColor="text1"/>
                <w:w w:val="105"/>
                <w:sz w:val="16"/>
                <w:szCs w:val="16"/>
              </w:rPr>
              <w:t xml:space="preserve"> fund</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77509EC6" w14:textId="070CEEE7" w:rsidR="00CF529B" w:rsidRPr="009501A6" w:rsidRDefault="004C1F3D" w:rsidP="006E33CC">
            <w:pPr>
              <w:pStyle w:val="TableParagraph"/>
              <w:spacing w:line="288" w:lineRule="auto"/>
              <w:jc w:val="center"/>
              <w:rPr>
                <w:rFonts w:ascii="Arial" w:hAnsi="Arial" w:cs="Arial"/>
                <w:b/>
                <w:color w:val="000000" w:themeColor="text1"/>
                <w:w w:val="105"/>
                <w:sz w:val="16"/>
                <w:szCs w:val="16"/>
              </w:rPr>
            </w:pPr>
            <w:r w:rsidRPr="009501A6">
              <w:rPr>
                <w:rFonts w:ascii="Arial" w:hAnsi="Arial" w:cs="Arial"/>
                <w:b/>
                <w:color w:val="000000" w:themeColor="text1"/>
                <w:w w:val="105"/>
                <w:sz w:val="16"/>
                <w:szCs w:val="16"/>
              </w:rPr>
              <w:t xml:space="preserve">Prudential </w:t>
            </w:r>
            <w:r w:rsidR="00CF529B" w:rsidRPr="009501A6">
              <w:rPr>
                <w:rFonts w:ascii="Arial" w:hAnsi="Arial" w:cs="Arial"/>
                <w:b/>
                <w:color w:val="000000" w:themeColor="text1"/>
                <w:w w:val="105"/>
                <w:sz w:val="16"/>
                <w:szCs w:val="16"/>
              </w:rPr>
              <w:t>Cash fund</w:t>
            </w:r>
          </w:p>
        </w:tc>
      </w:tr>
      <w:tr w:rsidR="001427F1" w:rsidRPr="001427F1" w14:paraId="384B23FD" w14:textId="6AE7FE80" w:rsidTr="008765C2">
        <w:trPr>
          <w:trHeight w:hRule="exact" w:val="776"/>
        </w:trPr>
        <w:tc>
          <w:tcPr>
            <w:tcW w:w="607" w:type="dxa"/>
            <w:vMerge/>
            <w:tcBorders>
              <w:left w:val="single" w:sz="8" w:space="0" w:color="000000"/>
              <w:right w:val="single" w:sz="8" w:space="0" w:color="000000"/>
            </w:tcBorders>
            <w:shd w:val="clear" w:color="auto" w:fill="F2F2F2" w:themeFill="background1" w:themeFillShade="F2"/>
          </w:tcPr>
          <w:p w14:paraId="52B972DF" w14:textId="77777777" w:rsidR="00CF529B" w:rsidRPr="001427F1" w:rsidRDefault="00CF529B" w:rsidP="00CF529B">
            <w:pPr>
              <w:rPr>
                <w:rFonts w:ascii="Arial" w:hAnsi="Arial" w:cs="Arial"/>
                <w:color w:val="FF0000"/>
              </w:rPr>
            </w:pP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1F1F1"/>
          </w:tcPr>
          <w:p w14:paraId="06830276" w14:textId="77777777" w:rsidR="008765C2" w:rsidRPr="009501A6" w:rsidRDefault="00CF529B" w:rsidP="00CF529B">
            <w:pPr>
              <w:pStyle w:val="TableParagraph"/>
              <w:spacing w:before="45"/>
              <w:jc w:val="center"/>
              <w:rPr>
                <w:rFonts w:ascii="Arial" w:hAnsi="Arial" w:cs="Arial"/>
                <w:b/>
                <w:color w:val="000000" w:themeColor="text1"/>
                <w:spacing w:val="-1"/>
                <w:w w:val="105"/>
                <w:sz w:val="16"/>
                <w:szCs w:val="16"/>
              </w:rPr>
            </w:pPr>
            <w:r w:rsidRPr="009501A6">
              <w:rPr>
                <w:rFonts w:ascii="Arial" w:hAnsi="Arial" w:cs="Arial"/>
                <w:b/>
                <w:color w:val="000000" w:themeColor="text1"/>
                <w:spacing w:val="-1"/>
                <w:w w:val="105"/>
                <w:sz w:val="16"/>
                <w:szCs w:val="16"/>
              </w:rPr>
              <w:t>Assumed</w:t>
            </w:r>
            <w:r w:rsidRPr="009501A6">
              <w:rPr>
                <w:rFonts w:ascii="Arial" w:hAnsi="Arial" w:cs="Arial"/>
                <w:b/>
                <w:color w:val="000000" w:themeColor="text1"/>
                <w:spacing w:val="-4"/>
                <w:w w:val="105"/>
                <w:sz w:val="16"/>
                <w:szCs w:val="16"/>
              </w:rPr>
              <w:t xml:space="preserve"> </w:t>
            </w:r>
            <w:r w:rsidRPr="009501A6">
              <w:rPr>
                <w:rFonts w:ascii="Arial" w:hAnsi="Arial" w:cs="Arial"/>
                <w:b/>
                <w:color w:val="000000" w:themeColor="text1"/>
                <w:spacing w:val="-1"/>
                <w:w w:val="105"/>
                <w:sz w:val="16"/>
                <w:szCs w:val="16"/>
              </w:rPr>
              <w:t>growth</w:t>
            </w:r>
            <w:r w:rsidRPr="009501A6">
              <w:rPr>
                <w:rFonts w:ascii="Arial" w:hAnsi="Arial" w:cs="Arial"/>
                <w:b/>
                <w:color w:val="000000" w:themeColor="text1"/>
                <w:spacing w:val="-4"/>
                <w:w w:val="105"/>
                <w:sz w:val="16"/>
                <w:szCs w:val="16"/>
              </w:rPr>
              <w:t xml:space="preserve"> </w:t>
            </w:r>
            <w:r w:rsidRPr="009501A6">
              <w:rPr>
                <w:rFonts w:ascii="Arial" w:hAnsi="Arial" w:cs="Arial"/>
                <w:b/>
                <w:color w:val="000000" w:themeColor="text1"/>
                <w:spacing w:val="-1"/>
                <w:w w:val="105"/>
                <w:sz w:val="16"/>
                <w:szCs w:val="16"/>
              </w:rPr>
              <w:t>rate</w:t>
            </w:r>
          </w:p>
          <w:p w14:paraId="641E4B40" w14:textId="26D2F80E" w:rsidR="007D5155" w:rsidRPr="009501A6" w:rsidRDefault="008765C2" w:rsidP="00CF529B">
            <w:pPr>
              <w:pStyle w:val="TableParagraph"/>
              <w:spacing w:before="45"/>
              <w:jc w:val="center"/>
              <w:rPr>
                <w:rFonts w:ascii="Arial" w:hAnsi="Arial" w:cs="Arial"/>
                <w:b/>
                <w:color w:val="000000" w:themeColor="text1"/>
                <w:spacing w:val="-3"/>
                <w:w w:val="105"/>
                <w:sz w:val="16"/>
                <w:szCs w:val="16"/>
              </w:rPr>
            </w:pPr>
            <w:r w:rsidRPr="009501A6">
              <w:rPr>
                <w:rFonts w:ascii="Arial" w:hAnsi="Arial" w:cs="Arial"/>
                <w:b/>
                <w:color w:val="000000" w:themeColor="text1"/>
                <w:spacing w:val="-1"/>
                <w:w w:val="105"/>
                <w:sz w:val="16"/>
                <w:szCs w:val="16"/>
              </w:rPr>
              <w:t>before inflation</w:t>
            </w:r>
          </w:p>
          <w:p w14:paraId="2F78A809" w14:textId="2562748F" w:rsidR="00CF529B" w:rsidRPr="001427F1" w:rsidRDefault="00763D5F" w:rsidP="00CF529B">
            <w:pPr>
              <w:pStyle w:val="TableParagraph"/>
              <w:spacing w:before="45"/>
              <w:jc w:val="center"/>
              <w:rPr>
                <w:rFonts w:ascii="Arial" w:eastAsia="Source Sans Pro" w:hAnsi="Arial" w:cs="Arial"/>
                <w:color w:val="FF0000"/>
                <w:sz w:val="16"/>
                <w:szCs w:val="16"/>
              </w:rPr>
            </w:pPr>
            <w:r w:rsidRPr="00763D5F">
              <w:rPr>
                <w:rFonts w:ascii="Arial" w:hAnsi="Arial" w:cs="Arial"/>
                <w:b/>
                <w:color w:val="000000" w:themeColor="text1"/>
                <w:spacing w:val="-1"/>
                <w:w w:val="105"/>
                <w:sz w:val="16"/>
                <w:szCs w:val="16"/>
              </w:rPr>
              <w:t>7</w:t>
            </w:r>
            <w:r w:rsidR="00A97BB8" w:rsidRPr="00763D5F">
              <w:rPr>
                <w:rFonts w:ascii="Arial" w:hAnsi="Arial" w:cs="Arial"/>
                <w:b/>
                <w:color w:val="000000" w:themeColor="text1"/>
                <w:spacing w:val="-1"/>
                <w:w w:val="105"/>
                <w:sz w:val="16"/>
                <w:szCs w:val="16"/>
              </w:rPr>
              <w:t>.</w:t>
            </w:r>
            <w:r w:rsidR="00FC31C7" w:rsidRPr="00763D5F">
              <w:rPr>
                <w:rFonts w:ascii="Arial" w:hAnsi="Arial" w:cs="Arial"/>
                <w:b/>
                <w:color w:val="000000" w:themeColor="text1"/>
                <w:spacing w:val="-1"/>
                <w:w w:val="105"/>
                <w:sz w:val="16"/>
                <w:szCs w:val="16"/>
              </w:rPr>
              <w:t>00</w:t>
            </w:r>
            <w:r w:rsidR="00CF529B" w:rsidRPr="00763D5F">
              <w:rPr>
                <w:rFonts w:ascii="Arial" w:hAnsi="Arial" w:cs="Arial"/>
                <w:b/>
                <w:color w:val="000000" w:themeColor="text1"/>
                <w:spacing w:val="-1"/>
                <w:w w:val="105"/>
                <w:sz w:val="16"/>
                <w:szCs w:val="16"/>
              </w:rPr>
              <w:t>%</w:t>
            </w:r>
            <w:r w:rsidR="007D5155" w:rsidRPr="00763D5F">
              <w:rPr>
                <w:rFonts w:ascii="Arial" w:hAnsi="Arial" w:cs="Arial"/>
                <w:b/>
                <w:color w:val="000000" w:themeColor="text1"/>
                <w:spacing w:val="-1"/>
                <w:w w:val="105"/>
                <w:sz w:val="16"/>
                <w:szCs w:val="16"/>
              </w:rPr>
              <w:t xml:space="preserve"> pa</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1F1F1"/>
          </w:tcPr>
          <w:p w14:paraId="78104623" w14:textId="77777777" w:rsidR="008765C2" w:rsidRPr="009501A6" w:rsidRDefault="00CF529B" w:rsidP="00CF529B">
            <w:pPr>
              <w:pStyle w:val="TableParagraph"/>
              <w:spacing w:before="45"/>
              <w:jc w:val="center"/>
              <w:rPr>
                <w:rFonts w:ascii="Arial" w:hAnsi="Arial" w:cs="Arial"/>
                <w:b/>
                <w:color w:val="000000" w:themeColor="text1"/>
                <w:spacing w:val="-1"/>
                <w:w w:val="105"/>
                <w:sz w:val="16"/>
                <w:szCs w:val="16"/>
              </w:rPr>
            </w:pPr>
            <w:r w:rsidRPr="009501A6">
              <w:rPr>
                <w:rFonts w:ascii="Arial" w:hAnsi="Arial" w:cs="Arial"/>
                <w:b/>
                <w:color w:val="000000" w:themeColor="text1"/>
                <w:spacing w:val="-1"/>
                <w:w w:val="105"/>
                <w:sz w:val="16"/>
                <w:szCs w:val="16"/>
              </w:rPr>
              <w:t>Assumed</w:t>
            </w:r>
            <w:r w:rsidRPr="009501A6">
              <w:rPr>
                <w:rFonts w:ascii="Arial" w:hAnsi="Arial" w:cs="Arial"/>
                <w:b/>
                <w:color w:val="000000" w:themeColor="text1"/>
                <w:spacing w:val="-4"/>
                <w:w w:val="105"/>
                <w:sz w:val="16"/>
                <w:szCs w:val="16"/>
              </w:rPr>
              <w:t xml:space="preserve"> </w:t>
            </w:r>
            <w:r w:rsidRPr="009501A6">
              <w:rPr>
                <w:rFonts w:ascii="Arial" w:hAnsi="Arial" w:cs="Arial"/>
                <w:b/>
                <w:color w:val="000000" w:themeColor="text1"/>
                <w:spacing w:val="-1"/>
                <w:w w:val="105"/>
                <w:sz w:val="16"/>
                <w:szCs w:val="16"/>
              </w:rPr>
              <w:t>growth</w:t>
            </w:r>
            <w:r w:rsidRPr="009501A6">
              <w:rPr>
                <w:rFonts w:ascii="Arial" w:hAnsi="Arial" w:cs="Arial"/>
                <w:b/>
                <w:color w:val="000000" w:themeColor="text1"/>
                <w:spacing w:val="-4"/>
                <w:w w:val="105"/>
                <w:sz w:val="16"/>
                <w:szCs w:val="16"/>
              </w:rPr>
              <w:t xml:space="preserve"> </w:t>
            </w:r>
            <w:r w:rsidRPr="009501A6">
              <w:rPr>
                <w:rFonts w:ascii="Arial" w:hAnsi="Arial" w:cs="Arial"/>
                <w:b/>
                <w:color w:val="000000" w:themeColor="text1"/>
                <w:spacing w:val="-1"/>
                <w:w w:val="105"/>
                <w:sz w:val="16"/>
                <w:szCs w:val="16"/>
              </w:rPr>
              <w:t>rate</w:t>
            </w:r>
          </w:p>
          <w:p w14:paraId="2103A31F" w14:textId="67385B37" w:rsidR="007D5155" w:rsidRPr="009501A6" w:rsidRDefault="008765C2" w:rsidP="00CF529B">
            <w:pPr>
              <w:pStyle w:val="TableParagraph"/>
              <w:spacing w:before="45"/>
              <w:jc w:val="center"/>
              <w:rPr>
                <w:rFonts w:ascii="Arial" w:hAnsi="Arial" w:cs="Arial"/>
                <w:b/>
                <w:color w:val="000000" w:themeColor="text1"/>
                <w:spacing w:val="-3"/>
                <w:w w:val="105"/>
                <w:sz w:val="16"/>
                <w:szCs w:val="16"/>
              </w:rPr>
            </w:pPr>
            <w:r w:rsidRPr="009501A6">
              <w:rPr>
                <w:rFonts w:ascii="Arial" w:hAnsi="Arial" w:cs="Arial"/>
                <w:b/>
                <w:color w:val="000000" w:themeColor="text1"/>
                <w:spacing w:val="-1"/>
                <w:w w:val="105"/>
                <w:sz w:val="16"/>
                <w:szCs w:val="16"/>
              </w:rPr>
              <w:t>before inflation</w:t>
            </w:r>
          </w:p>
          <w:p w14:paraId="42D31EA3" w14:textId="5C5F5185" w:rsidR="00CF529B" w:rsidRPr="001427F1" w:rsidRDefault="009501A6" w:rsidP="00CF529B">
            <w:pPr>
              <w:pStyle w:val="TableParagraph"/>
              <w:spacing w:before="45"/>
              <w:jc w:val="center"/>
              <w:rPr>
                <w:rFonts w:ascii="Arial" w:eastAsia="Source Sans Pro" w:hAnsi="Arial" w:cs="Arial"/>
                <w:color w:val="FF0000"/>
                <w:sz w:val="16"/>
                <w:szCs w:val="16"/>
              </w:rPr>
            </w:pPr>
            <w:r w:rsidRPr="009501A6">
              <w:rPr>
                <w:rFonts w:ascii="Arial" w:hAnsi="Arial" w:cs="Arial"/>
                <w:b/>
                <w:color w:val="000000" w:themeColor="text1"/>
                <w:spacing w:val="-1"/>
                <w:w w:val="105"/>
                <w:sz w:val="16"/>
                <w:szCs w:val="16"/>
              </w:rPr>
              <w:t>4</w:t>
            </w:r>
            <w:r w:rsidR="00FC31C7" w:rsidRPr="009501A6">
              <w:rPr>
                <w:rFonts w:ascii="Arial" w:hAnsi="Arial" w:cs="Arial"/>
                <w:b/>
                <w:color w:val="000000" w:themeColor="text1"/>
                <w:spacing w:val="-1"/>
                <w:w w:val="105"/>
                <w:sz w:val="16"/>
                <w:szCs w:val="16"/>
              </w:rPr>
              <w:t>.00</w:t>
            </w:r>
            <w:r w:rsidR="00CF529B" w:rsidRPr="009501A6">
              <w:rPr>
                <w:rFonts w:ascii="Arial" w:hAnsi="Arial" w:cs="Arial"/>
                <w:b/>
                <w:color w:val="000000" w:themeColor="text1"/>
                <w:spacing w:val="-1"/>
                <w:w w:val="105"/>
                <w:sz w:val="16"/>
                <w:szCs w:val="16"/>
              </w:rPr>
              <w:t>%</w:t>
            </w:r>
            <w:r w:rsidR="007D5155" w:rsidRPr="009501A6">
              <w:rPr>
                <w:rFonts w:ascii="Arial" w:hAnsi="Arial" w:cs="Arial"/>
                <w:b/>
                <w:color w:val="000000" w:themeColor="text1"/>
                <w:spacing w:val="-1"/>
                <w:w w:val="105"/>
                <w:sz w:val="16"/>
                <w:szCs w:val="16"/>
              </w:rPr>
              <w:t xml:space="preserve"> pa</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1F1F1"/>
          </w:tcPr>
          <w:p w14:paraId="0D16F71B" w14:textId="77777777" w:rsidR="008765C2" w:rsidRPr="009501A6" w:rsidRDefault="00CF529B" w:rsidP="00CF529B">
            <w:pPr>
              <w:pStyle w:val="TableParagraph"/>
              <w:spacing w:before="45"/>
              <w:jc w:val="center"/>
              <w:rPr>
                <w:rFonts w:ascii="Arial" w:hAnsi="Arial" w:cs="Arial"/>
                <w:b/>
                <w:color w:val="000000" w:themeColor="text1"/>
                <w:spacing w:val="-1"/>
                <w:w w:val="105"/>
                <w:sz w:val="16"/>
                <w:szCs w:val="16"/>
              </w:rPr>
            </w:pPr>
            <w:r w:rsidRPr="009501A6">
              <w:rPr>
                <w:rFonts w:ascii="Arial" w:hAnsi="Arial" w:cs="Arial"/>
                <w:b/>
                <w:color w:val="000000" w:themeColor="text1"/>
                <w:spacing w:val="-1"/>
                <w:w w:val="105"/>
                <w:sz w:val="16"/>
                <w:szCs w:val="16"/>
              </w:rPr>
              <w:t>Assumed</w:t>
            </w:r>
            <w:r w:rsidRPr="009501A6">
              <w:rPr>
                <w:rFonts w:ascii="Arial" w:hAnsi="Arial" w:cs="Arial"/>
                <w:b/>
                <w:color w:val="000000" w:themeColor="text1"/>
                <w:spacing w:val="-4"/>
                <w:w w:val="105"/>
                <w:sz w:val="16"/>
                <w:szCs w:val="16"/>
              </w:rPr>
              <w:t xml:space="preserve"> </w:t>
            </w:r>
            <w:r w:rsidRPr="009501A6">
              <w:rPr>
                <w:rFonts w:ascii="Arial" w:hAnsi="Arial" w:cs="Arial"/>
                <w:b/>
                <w:color w:val="000000" w:themeColor="text1"/>
                <w:spacing w:val="-1"/>
                <w:w w:val="105"/>
                <w:sz w:val="16"/>
                <w:szCs w:val="16"/>
              </w:rPr>
              <w:t>growth</w:t>
            </w:r>
            <w:r w:rsidRPr="009501A6">
              <w:rPr>
                <w:rFonts w:ascii="Arial" w:hAnsi="Arial" w:cs="Arial"/>
                <w:b/>
                <w:color w:val="000000" w:themeColor="text1"/>
                <w:spacing w:val="-4"/>
                <w:w w:val="105"/>
                <w:sz w:val="16"/>
                <w:szCs w:val="16"/>
              </w:rPr>
              <w:t xml:space="preserve"> </w:t>
            </w:r>
            <w:r w:rsidRPr="009501A6">
              <w:rPr>
                <w:rFonts w:ascii="Arial" w:hAnsi="Arial" w:cs="Arial"/>
                <w:b/>
                <w:color w:val="000000" w:themeColor="text1"/>
                <w:spacing w:val="-1"/>
                <w:w w:val="105"/>
                <w:sz w:val="16"/>
                <w:szCs w:val="16"/>
              </w:rPr>
              <w:t>rate</w:t>
            </w:r>
          </w:p>
          <w:p w14:paraId="722F1A94" w14:textId="47546E44" w:rsidR="007D5155" w:rsidRPr="009501A6" w:rsidRDefault="008765C2" w:rsidP="00CF529B">
            <w:pPr>
              <w:pStyle w:val="TableParagraph"/>
              <w:spacing w:before="45"/>
              <w:jc w:val="center"/>
              <w:rPr>
                <w:rFonts w:ascii="Arial" w:hAnsi="Arial" w:cs="Arial"/>
                <w:b/>
                <w:color w:val="000000" w:themeColor="text1"/>
                <w:spacing w:val="-3"/>
                <w:w w:val="105"/>
                <w:sz w:val="16"/>
                <w:szCs w:val="16"/>
              </w:rPr>
            </w:pPr>
            <w:r w:rsidRPr="009501A6">
              <w:rPr>
                <w:rFonts w:ascii="Arial" w:hAnsi="Arial" w:cs="Arial"/>
                <w:b/>
                <w:color w:val="000000" w:themeColor="text1"/>
                <w:spacing w:val="-1"/>
                <w:w w:val="105"/>
                <w:sz w:val="16"/>
                <w:szCs w:val="16"/>
              </w:rPr>
              <w:t>before inflation</w:t>
            </w:r>
          </w:p>
          <w:p w14:paraId="2D1D9118" w14:textId="0DB123E2" w:rsidR="00CF529B" w:rsidRPr="001427F1" w:rsidRDefault="00FC31C7" w:rsidP="00CF529B">
            <w:pPr>
              <w:pStyle w:val="TableParagraph"/>
              <w:spacing w:before="45"/>
              <w:jc w:val="center"/>
              <w:rPr>
                <w:rFonts w:ascii="Arial" w:hAnsi="Arial" w:cs="Arial"/>
                <w:b/>
                <w:color w:val="FF0000"/>
                <w:spacing w:val="-1"/>
                <w:w w:val="105"/>
                <w:sz w:val="16"/>
                <w:szCs w:val="16"/>
              </w:rPr>
            </w:pPr>
            <w:r w:rsidRPr="009501A6">
              <w:rPr>
                <w:rFonts w:ascii="Arial" w:hAnsi="Arial" w:cs="Arial"/>
                <w:b/>
                <w:color w:val="000000" w:themeColor="text1"/>
                <w:spacing w:val="-1"/>
                <w:w w:val="105"/>
                <w:sz w:val="16"/>
                <w:szCs w:val="16"/>
              </w:rPr>
              <w:t>7.00</w:t>
            </w:r>
            <w:r w:rsidR="00CF529B" w:rsidRPr="009501A6">
              <w:rPr>
                <w:rFonts w:ascii="Arial" w:hAnsi="Arial" w:cs="Arial"/>
                <w:b/>
                <w:color w:val="000000" w:themeColor="text1"/>
                <w:spacing w:val="-1"/>
                <w:w w:val="105"/>
                <w:sz w:val="16"/>
                <w:szCs w:val="16"/>
              </w:rPr>
              <w:t>%</w:t>
            </w:r>
            <w:r w:rsidR="007D5155" w:rsidRPr="009501A6">
              <w:rPr>
                <w:rFonts w:ascii="Arial" w:hAnsi="Arial" w:cs="Arial"/>
                <w:b/>
                <w:color w:val="000000" w:themeColor="text1"/>
                <w:spacing w:val="-1"/>
                <w:w w:val="105"/>
                <w:sz w:val="16"/>
                <w:szCs w:val="16"/>
              </w:rPr>
              <w:t xml:space="preserve"> pa</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1F1F1"/>
          </w:tcPr>
          <w:p w14:paraId="670E5CC4" w14:textId="77777777" w:rsidR="008765C2" w:rsidRPr="009501A6" w:rsidRDefault="00CF529B" w:rsidP="00CF529B">
            <w:pPr>
              <w:pStyle w:val="TableParagraph"/>
              <w:spacing w:before="45"/>
              <w:jc w:val="center"/>
              <w:rPr>
                <w:rFonts w:ascii="Arial" w:hAnsi="Arial" w:cs="Arial"/>
                <w:b/>
                <w:color w:val="000000" w:themeColor="text1"/>
                <w:spacing w:val="-1"/>
                <w:w w:val="105"/>
                <w:sz w:val="16"/>
                <w:szCs w:val="16"/>
              </w:rPr>
            </w:pPr>
            <w:r w:rsidRPr="009501A6">
              <w:rPr>
                <w:rFonts w:ascii="Arial" w:hAnsi="Arial" w:cs="Arial"/>
                <w:b/>
                <w:color w:val="000000" w:themeColor="text1"/>
                <w:spacing w:val="-1"/>
                <w:w w:val="105"/>
                <w:sz w:val="16"/>
                <w:szCs w:val="16"/>
              </w:rPr>
              <w:t>Assumed</w:t>
            </w:r>
            <w:r w:rsidRPr="009501A6">
              <w:rPr>
                <w:rFonts w:ascii="Arial" w:hAnsi="Arial" w:cs="Arial"/>
                <w:b/>
                <w:color w:val="000000" w:themeColor="text1"/>
                <w:spacing w:val="-4"/>
                <w:w w:val="105"/>
                <w:sz w:val="16"/>
                <w:szCs w:val="16"/>
              </w:rPr>
              <w:t xml:space="preserve"> </w:t>
            </w:r>
            <w:r w:rsidRPr="009501A6">
              <w:rPr>
                <w:rFonts w:ascii="Arial" w:hAnsi="Arial" w:cs="Arial"/>
                <w:b/>
                <w:color w:val="000000" w:themeColor="text1"/>
                <w:spacing w:val="-1"/>
                <w:w w:val="105"/>
                <w:sz w:val="16"/>
                <w:szCs w:val="16"/>
              </w:rPr>
              <w:t>growth</w:t>
            </w:r>
            <w:r w:rsidRPr="009501A6">
              <w:rPr>
                <w:rFonts w:ascii="Arial" w:hAnsi="Arial" w:cs="Arial"/>
                <w:b/>
                <w:color w:val="000000" w:themeColor="text1"/>
                <w:spacing w:val="-4"/>
                <w:w w:val="105"/>
                <w:sz w:val="16"/>
                <w:szCs w:val="16"/>
              </w:rPr>
              <w:t xml:space="preserve"> </w:t>
            </w:r>
            <w:r w:rsidRPr="009501A6">
              <w:rPr>
                <w:rFonts w:ascii="Arial" w:hAnsi="Arial" w:cs="Arial"/>
                <w:b/>
                <w:color w:val="000000" w:themeColor="text1"/>
                <w:spacing w:val="-1"/>
                <w:w w:val="105"/>
                <w:sz w:val="16"/>
                <w:szCs w:val="16"/>
              </w:rPr>
              <w:t>rate</w:t>
            </w:r>
          </w:p>
          <w:p w14:paraId="33602FF6" w14:textId="70577AC9" w:rsidR="007D5155" w:rsidRPr="009501A6" w:rsidRDefault="008765C2" w:rsidP="00CF529B">
            <w:pPr>
              <w:pStyle w:val="TableParagraph"/>
              <w:spacing w:before="45"/>
              <w:jc w:val="center"/>
              <w:rPr>
                <w:rFonts w:ascii="Arial" w:hAnsi="Arial" w:cs="Arial"/>
                <w:b/>
                <w:color w:val="000000" w:themeColor="text1"/>
                <w:spacing w:val="-3"/>
                <w:w w:val="105"/>
                <w:sz w:val="16"/>
                <w:szCs w:val="16"/>
              </w:rPr>
            </w:pPr>
            <w:r w:rsidRPr="009501A6">
              <w:rPr>
                <w:rFonts w:ascii="Arial" w:hAnsi="Arial" w:cs="Arial"/>
                <w:b/>
                <w:color w:val="000000" w:themeColor="text1"/>
                <w:spacing w:val="-1"/>
                <w:w w:val="105"/>
                <w:sz w:val="16"/>
                <w:szCs w:val="16"/>
              </w:rPr>
              <w:t>before inflation</w:t>
            </w:r>
          </w:p>
          <w:p w14:paraId="611B55FB" w14:textId="29298760" w:rsidR="00CF529B" w:rsidRPr="001427F1" w:rsidRDefault="009501A6" w:rsidP="00CF529B">
            <w:pPr>
              <w:pStyle w:val="TableParagraph"/>
              <w:spacing w:before="45"/>
              <w:jc w:val="center"/>
              <w:rPr>
                <w:rFonts w:ascii="Arial" w:hAnsi="Arial" w:cs="Arial"/>
                <w:b/>
                <w:color w:val="FF0000"/>
                <w:spacing w:val="-1"/>
                <w:w w:val="105"/>
                <w:sz w:val="16"/>
                <w:szCs w:val="16"/>
              </w:rPr>
            </w:pPr>
            <w:r w:rsidRPr="009501A6">
              <w:rPr>
                <w:rFonts w:ascii="Arial" w:hAnsi="Arial" w:cs="Arial"/>
                <w:b/>
                <w:color w:val="000000" w:themeColor="text1"/>
                <w:spacing w:val="-1"/>
                <w:w w:val="105"/>
                <w:sz w:val="16"/>
                <w:szCs w:val="16"/>
              </w:rPr>
              <w:t>2</w:t>
            </w:r>
            <w:r w:rsidR="00FC31C7" w:rsidRPr="009501A6">
              <w:rPr>
                <w:rFonts w:ascii="Arial" w:hAnsi="Arial" w:cs="Arial"/>
                <w:b/>
                <w:color w:val="000000" w:themeColor="text1"/>
                <w:spacing w:val="-1"/>
                <w:w w:val="105"/>
                <w:sz w:val="16"/>
                <w:szCs w:val="16"/>
              </w:rPr>
              <w:t>.00</w:t>
            </w:r>
            <w:r w:rsidR="00CF529B" w:rsidRPr="009501A6">
              <w:rPr>
                <w:rFonts w:ascii="Arial" w:hAnsi="Arial" w:cs="Arial"/>
                <w:b/>
                <w:color w:val="000000" w:themeColor="text1"/>
                <w:spacing w:val="-1"/>
                <w:w w:val="105"/>
                <w:sz w:val="16"/>
                <w:szCs w:val="16"/>
              </w:rPr>
              <w:t>%</w:t>
            </w:r>
            <w:r w:rsidR="007D5155" w:rsidRPr="009501A6">
              <w:rPr>
                <w:rFonts w:ascii="Arial" w:hAnsi="Arial" w:cs="Arial"/>
                <w:b/>
                <w:color w:val="000000" w:themeColor="text1"/>
                <w:spacing w:val="-1"/>
                <w:w w:val="105"/>
                <w:sz w:val="16"/>
                <w:szCs w:val="16"/>
              </w:rPr>
              <w:t xml:space="preserve"> pa</w:t>
            </w:r>
          </w:p>
        </w:tc>
      </w:tr>
      <w:tr w:rsidR="001427F1" w:rsidRPr="001427F1" w14:paraId="2B8EED7B" w14:textId="70BE6429" w:rsidTr="00CF529B">
        <w:trPr>
          <w:trHeight w:hRule="exact" w:val="569"/>
        </w:trPr>
        <w:tc>
          <w:tcPr>
            <w:tcW w:w="607" w:type="dxa"/>
            <w:vMerge/>
            <w:tcBorders>
              <w:left w:val="single" w:sz="8" w:space="0" w:color="000000"/>
              <w:bottom w:val="single" w:sz="8" w:space="0" w:color="000000"/>
              <w:right w:val="single" w:sz="8" w:space="0" w:color="000000"/>
            </w:tcBorders>
            <w:shd w:val="clear" w:color="auto" w:fill="F2F2F2" w:themeFill="background1" w:themeFillShade="F2"/>
          </w:tcPr>
          <w:p w14:paraId="35B07368" w14:textId="77777777" w:rsidR="00CF529B" w:rsidRPr="001427F1" w:rsidRDefault="00CF529B" w:rsidP="00CF529B">
            <w:pPr>
              <w:rPr>
                <w:rFonts w:ascii="Arial" w:hAnsi="Arial" w:cs="Arial"/>
                <w:color w:val="FF0000"/>
              </w:rPr>
            </w:pP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1F1F1"/>
          </w:tcPr>
          <w:p w14:paraId="4D483618" w14:textId="02459163" w:rsidR="00CF529B" w:rsidRPr="00763D5F" w:rsidRDefault="00CF529B" w:rsidP="00CF529B">
            <w:pPr>
              <w:pStyle w:val="TableParagraph"/>
              <w:spacing w:before="45"/>
              <w:jc w:val="center"/>
              <w:rPr>
                <w:rFonts w:ascii="Arial" w:eastAsia="Source Sans Pro" w:hAnsi="Arial" w:cs="Arial"/>
                <w:color w:val="000000" w:themeColor="text1"/>
                <w:sz w:val="16"/>
                <w:szCs w:val="16"/>
              </w:rPr>
            </w:pPr>
            <w:r w:rsidRPr="00763D5F">
              <w:rPr>
                <w:rFonts w:ascii="Arial" w:hAnsi="Arial" w:cs="Arial"/>
                <w:b/>
                <w:color w:val="000000" w:themeColor="text1"/>
                <w:spacing w:val="-1"/>
                <w:w w:val="105"/>
                <w:sz w:val="16"/>
                <w:szCs w:val="16"/>
              </w:rPr>
              <w:t>Assumed</w:t>
            </w:r>
            <w:r w:rsidRPr="00763D5F">
              <w:rPr>
                <w:rFonts w:ascii="Arial" w:hAnsi="Arial" w:cs="Arial"/>
                <w:b/>
                <w:color w:val="000000" w:themeColor="text1"/>
                <w:spacing w:val="-3"/>
                <w:w w:val="105"/>
                <w:sz w:val="16"/>
                <w:szCs w:val="16"/>
              </w:rPr>
              <w:t xml:space="preserve"> </w:t>
            </w:r>
            <w:r w:rsidRPr="00763D5F">
              <w:rPr>
                <w:rFonts w:ascii="Arial" w:hAnsi="Arial" w:cs="Arial"/>
                <w:b/>
                <w:color w:val="000000" w:themeColor="text1"/>
                <w:spacing w:val="-1"/>
                <w:w w:val="105"/>
                <w:sz w:val="16"/>
                <w:szCs w:val="16"/>
              </w:rPr>
              <w:t>costs</w:t>
            </w:r>
            <w:r w:rsidRPr="00763D5F">
              <w:rPr>
                <w:rFonts w:ascii="Arial" w:hAnsi="Arial" w:cs="Arial"/>
                <w:b/>
                <w:color w:val="000000" w:themeColor="text1"/>
                <w:spacing w:val="-3"/>
                <w:w w:val="105"/>
                <w:sz w:val="16"/>
                <w:szCs w:val="16"/>
              </w:rPr>
              <w:t xml:space="preserve"> </w:t>
            </w:r>
            <w:r w:rsidRPr="00763D5F">
              <w:rPr>
                <w:rFonts w:ascii="Arial" w:hAnsi="Arial" w:cs="Arial"/>
                <w:b/>
                <w:color w:val="000000" w:themeColor="text1"/>
                <w:spacing w:val="-1"/>
                <w:w w:val="105"/>
                <w:sz w:val="16"/>
                <w:szCs w:val="16"/>
              </w:rPr>
              <w:t>and</w:t>
            </w:r>
            <w:r w:rsidRPr="00763D5F">
              <w:rPr>
                <w:rFonts w:ascii="Arial" w:hAnsi="Arial" w:cs="Arial"/>
                <w:b/>
                <w:color w:val="000000" w:themeColor="text1"/>
                <w:spacing w:val="-2"/>
                <w:w w:val="105"/>
                <w:sz w:val="16"/>
                <w:szCs w:val="16"/>
              </w:rPr>
              <w:t xml:space="preserve"> </w:t>
            </w:r>
            <w:r w:rsidRPr="00763D5F">
              <w:rPr>
                <w:rFonts w:ascii="Arial" w:hAnsi="Arial" w:cs="Arial"/>
                <w:b/>
                <w:color w:val="000000" w:themeColor="text1"/>
                <w:spacing w:val="-1"/>
                <w:w w:val="105"/>
                <w:sz w:val="16"/>
                <w:szCs w:val="16"/>
              </w:rPr>
              <w:t>charges</w:t>
            </w:r>
            <w:r w:rsidRPr="00763D5F">
              <w:rPr>
                <w:rFonts w:ascii="Arial" w:hAnsi="Arial" w:cs="Arial"/>
                <w:b/>
                <w:color w:val="000000" w:themeColor="text1"/>
                <w:spacing w:val="18"/>
                <w:w w:val="105"/>
                <w:sz w:val="16"/>
                <w:szCs w:val="16"/>
              </w:rPr>
              <w:t xml:space="preserve"> </w:t>
            </w:r>
            <w:r w:rsidR="00495AF2" w:rsidRPr="00763D5F">
              <w:rPr>
                <w:rFonts w:ascii="Arial" w:hAnsi="Arial" w:cs="Arial"/>
                <w:b/>
                <w:color w:val="000000" w:themeColor="text1"/>
                <w:spacing w:val="-1"/>
                <w:w w:val="105"/>
                <w:sz w:val="16"/>
                <w:szCs w:val="16"/>
              </w:rPr>
              <w:t>0.3</w:t>
            </w:r>
            <w:r w:rsidR="00763D5F" w:rsidRPr="00763D5F">
              <w:rPr>
                <w:rFonts w:ascii="Arial" w:hAnsi="Arial" w:cs="Arial"/>
                <w:b/>
                <w:color w:val="000000" w:themeColor="text1"/>
                <w:spacing w:val="-1"/>
                <w:w w:val="105"/>
                <w:sz w:val="16"/>
                <w:szCs w:val="16"/>
              </w:rPr>
              <w:t>68</w:t>
            </w:r>
            <w:r w:rsidRPr="00763D5F">
              <w:rPr>
                <w:rFonts w:ascii="Arial" w:hAnsi="Arial" w:cs="Arial"/>
                <w:b/>
                <w:color w:val="000000" w:themeColor="text1"/>
                <w:spacing w:val="-1"/>
                <w:w w:val="105"/>
                <w:sz w:val="16"/>
                <w:szCs w:val="16"/>
              </w:rPr>
              <w:t>%</w:t>
            </w:r>
            <w:r w:rsidR="007D5155" w:rsidRPr="00763D5F">
              <w:rPr>
                <w:rFonts w:ascii="Arial" w:hAnsi="Arial" w:cs="Arial"/>
                <w:b/>
                <w:color w:val="000000" w:themeColor="text1"/>
                <w:spacing w:val="-1"/>
                <w:w w:val="105"/>
                <w:sz w:val="16"/>
                <w:szCs w:val="16"/>
              </w:rPr>
              <w:t xml:space="preserve"> pa</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1F1F1"/>
          </w:tcPr>
          <w:p w14:paraId="66502456" w14:textId="2D6D1F92" w:rsidR="00CF529B" w:rsidRPr="00763D5F" w:rsidRDefault="00CF529B" w:rsidP="00CF529B">
            <w:pPr>
              <w:pStyle w:val="TableParagraph"/>
              <w:spacing w:before="45"/>
              <w:jc w:val="center"/>
              <w:rPr>
                <w:rFonts w:ascii="Arial" w:eastAsia="Source Sans Pro" w:hAnsi="Arial" w:cs="Arial"/>
                <w:color w:val="000000" w:themeColor="text1"/>
                <w:sz w:val="16"/>
                <w:szCs w:val="16"/>
              </w:rPr>
            </w:pPr>
            <w:r w:rsidRPr="00763D5F">
              <w:rPr>
                <w:rFonts w:ascii="Arial" w:hAnsi="Arial" w:cs="Arial"/>
                <w:b/>
                <w:color w:val="000000" w:themeColor="text1"/>
                <w:spacing w:val="-1"/>
                <w:w w:val="105"/>
                <w:sz w:val="16"/>
                <w:szCs w:val="16"/>
              </w:rPr>
              <w:t>Assumed</w:t>
            </w:r>
            <w:r w:rsidRPr="00763D5F">
              <w:rPr>
                <w:rFonts w:ascii="Arial" w:hAnsi="Arial" w:cs="Arial"/>
                <w:b/>
                <w:color w:val="000000" w:themeColor="text1"/>
                <w:spacing w:val="-3"/>
                <w:w w:val="105"/>
                <w:sz w:val="16"/>
                <w:szCs w:val="16"/>
              </w:rPr>
              <w:t xml:space="preserve"> </w:t>
            </w:r>
            <w:r w:rsidRPr="00763D5F">
              <w:rPr>
                <w:rFonts w:ascii="Arial" w:hAnsi="Arial" w:cs="Arial"/>
                <w:b/>
                <w:color w:val="000000" w:themeColor="text1"/>
                <w:spacing w:val="-1"/>
                <w:w w:val="105"/>
                <w:sz w:val="16"/>
                <w:szCs w:val="16"/>
              </w:rPr>
              <w:t>costs</w:t>
            </w:r>
            <w:r w:rsidRPr="00763D5F">
              <w:rPr>
                <w:rFonts w:ascii="Arial" w:hAnsi="Arial" w:cs="Arial"/>
                <w:b/>
                <w:color w:val="000000" w:themeColor="text1"/>
                <w:spacing w:val="-3"/>
                <w:w w:val="105"/>
                <w:sz w:val="16"/>
                <w:szCs w:val="16"/>
              </w:rPr>
              <w:t xml:space="preserve"> </w:t>
            </w:r>
            <w:r w:rsidRPr="00763D5F">
              <w:rPr>
                <w:rFonts w:ascii="Arial" w:hAnsi="Arial" w:cs="Arial"/>
                <w:b/>
                <w:color w:val="000000" w:themeColor="text1"/>
                <w:spacing w:val="-1"/>
                <w:w w:val="105"/>
                <w:sz w:val="16"/>
                <w:szCs w:val="16"/>
              </w:rPr>
              <w:t>and</w:t>
            </w:r>
            <w:r w:rsidRPr="00763D5F">
              <w:rPr>
                <w:rFonts w:ascii="Arial" w:hAnsi="Arial" w:cs="Arial"/>
                <w:b/>
                <w:color w:val="000000" w:themeColor="text1"/>
                <w:spacing w:val="-2"/>
                <w:w w:val="105"/>
                <w:sz w:val="16"/>
                <w:szCs w:val="16"/>
              </w:rPr>
              <w:t xml:space="preserve"> </w:t>
            </w:r>
            <w:r w:rsidRPr="00763D5F">
              <w:rPr>
                <w:rFonts w:ascii="Arial" w:hAnsi="Arial" w:cs="Arial"/>
                <w:b/>
                <w:color w:val="000000" w:themeColor="text1"/>
                <w:spacing w:val="-1"/>
                <w:w w:val="105"/>
                <w:sz w:val="16"/>
                <w:szCs w:val="16"/>
              </w:rPr>
              <w:t>charges</w:t>
            </w:r>
            <w:r w:rsidRPr="00763D5F">
              <w:rPr>
                <w:rFonts w:ascii="Arial" w:hAnsi="Arial" w:cs="Arial"/>
                <w:b/>
                <w:color w:val="000000" w:themeColor="text1"/>
                <w:spacing w:val="18"/>
                <w:w w:val="105"/>
                <w:sz w:val="16"/>
                <w:szCs w:val="16"/>
              </w:rPr>
              <w:t xml:space="preserve"> </w:t>
            </w:r>
            <w:r w:rsidR="004A4B70" w:rsidRPr="00763D5F">
              <w:rPr>
                <w:rFonts w:ascii="Arial" w:hAnsi="Arial" w:cs="Arial"/>
                <w:b/>
                <w:color w:val="000000" w:themeColor="text1"/>
                <w:spacing w:val="-1"/>
                <w:w w:val="105"/>
                <w:sz w:val="16"/>
                <w:szCs w:val="16"/>
              </w:rPr>
              <w:t>0.</w:t>
            </w:r>
            <w:r w:rsidR="00387B54" w:rsidRPr="00763D5F">
              <w:rPr>
                <w:rFonts w:ascii="Arial" w:hAnsi="Arial" w:cs="Arial"/>
                <w:b/>
                <w:color w:val="000000" w:themeColor="text1"/>
                <w:spacing w:val="-1"/>
                <w:w w:val="105"/>
                <w:sz w:val="16"/>
                <w:szCs w:val="16"/>
              </w:rPr>
              <w:t>3</w:t>
            </w:r>
            <w:r w:rsidR="00763D5F" w:rsidRPr="00763D5F">
              <w:rPr>
                <w:rFonts w:ascii="Arial" w:hAnsi="Arial" w:cs="Arial"/>
                <w:b/>
                <w:color w:val="000000" w:themeColor="text1"/>
                <w:spacing w:val="-1"/>
                <w:w w:val="105"/>
                <w:sz w:val="16"/>
                <w:szCs w:val="16"/>
              </w:rPr>
              <w:t>85</w:t>
            </w:r>
            <w:r w:rsidRPr="00763D5F">
              <w:rPr>
                <w:rFonts w:ascii="Arial" w:hAnsi="Arial" w:cs="Arial"/>
                <w:b/>
                <w:color w:val="000000" w:themeColor="text1"/>
                <w:spacing w:val="-1"/>
                <w:w w:val="105"/>
                <w:sz w:val="16"/>
                <w:szCs w:val="16"/>
              </w:rPr>
              <w:t>%</w:t>
            </w:r>
            <w:r w:rsidR="007D5155" w:rsidRPr="00763D5F">
              <w:rPr>
                <w:rFonts w:ascii="Arial" w:hAnsi="Arial" w:cs="Arial"/>
                <w:b/>
                <w:color w:val="000000" w:themeColor="text1"/>
                <w:spacing w:val="-1"/>
                <w:w w:val="105"/>
                <w:sz w:val="16"/>
                <w:szCs w:val="16"/>
              </w:rPr>
              <w:t xml:space="preserve"> pa</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1F1F1"/>
          </w:tcPr>
          <w:p w14:paraId="4CED296B" w14:textId="6903E8D9" w:rsidR="00CF529B" w:rsidRPr="00763D5F" w:rsidRDefault="00CF529B" w:rsidP="00CF529B">
            <w:pPr>
              <w:pStyle w:val="TableParagraph"/>
              <w:spacing w:before="45"/>
              <w:jc w:val="center"/>
              <w:rPr>
                <w:rFonts w:ascii="Arial" w:hAnsi="Arial" w:cs="Arial"/>
                <w:b/>
                <w:color w:val="000000" w:themeColor="text1"/>
                <w:spacing w:val="-1"/>
                <w:w w:val="105"/>
                <w:sz w:val="16"/>
                <w:szCs w:val="16"/>
              </w:rPr>
            </w:pPr>
            <w:r w:rsidRPr="00763D5F">
              <w:rPr>
                <w:rFonts w:ascii="Arial" w:hAnsi="Arial" w:cs="Arial"/>
                <w:b/>
                <w:color w:val="000000" w:themeColor="text1"/>
                <w:spacing w:val="-1"/>
                <w:w w:val="105"/>
                <w:sz w:val="16"/>
                <w:szCs w:val="16"/>
              </w:rPr>
              <w:t>Assumed</w:t>
            </w:r>
            <w:r w:rsidRPr="00763D5F">
              <w:rPr>
                <w:rFonts w:ascii="Arial" w:hAnsi="Arial" w:cs="Arial"/>
                <w:b/>
                <w:color w:val="000000" w:themeColor="text1"/>
                <w:spacing w:val="-3"/>
                <w:w w:val="105"/>
                <w:sz w:val="16"/>
                <w:szCs w:val="16"/>
              </w:rPr>
              <w:t xml:space="preserve"> </w:t>
            </w:r>
            <w:r w:rsidRPr="00763D5F">
              <w:rPr>
                <w:rFonts w:ascii="Arial" w:hAnsi="Arial" w:cs="Arial"/>
                <w:b/>
                <w:color w:val="000000" w:themeColor="text1"/>
                <w:spacing w:val="-1"/>
                <w:w w:val="105"/>
                <w:sz w:val="16"/>
                <w:szCs w:val="16"/>
              </w:rPr>
              <w:t>costs</w:t>
            </w:r>
            <w:r w:rsidRPr="00763D5F">
              <w:rPr>
                <w:rFonts w:ascii="Arial" w:hAnsi="Arial" w:cs="Arial"/>
                <w:b/>
                <w:color w:val="000000" w:themeColor="text1"/>
                <w:spacing w:val="-3"/>
                <w:w w:val="105"/>
                <w:sz w:val="16"/>
                <w:szCs w:val="16"/>
              </w:rPr>
              <w:t xml:space="preserve"> </w:t>
            </w:r>
            <w:r w:rsidRPr="00763D5F">
              <w:rPr>
                <w:rFonts w:ascii="Arial" w:hAnsi="Arial" w:cs="Arial"/>
                <w:b/>
                <w:color w:val="000000" w:themeColor="text1"/>
                <w:spacing w:val="-1"/>
                <w:w w:val="105"/>
                <w:sz w:val="16"/>
                <w:szCs w:val="16"/>
              </w:rPr>
              <w:t>and</w:t>
            </w:r>
            <w:r w:rsidRPr="00763D5F">
              <w:rPr>
                <w:rFonts w:ascii="Arial" w:hAnsi="Arial" w:cs="Arial"/>
                <w:b/>
                <w:color w:val="000000" w:themeColor="text1"/>
                <w:spacing w:val="-2"/>
                <w:w w:val="105"/>
                <w:sz w:val="16"/>
                <w:szCs w:val="16"/>
              </w:rPr>
              <w:t xml:space="preserve"> </w:t>
            </w:r>
            <w:r w:rsidRPr="00763D5F">
              <w:rPr>
                <w:rFonts w:ascii="Arial" w:hAnsi="Arial" w:cs="Arial"/>
                <w:b/>
                <w:color w:val="000000" w:themeColor="text1"/>
                <w:spacing w:val="-1"/>
                <w:w w:val="105"/>
                <w:sz w:val="16"/>
                <w:szCs w:val="16"/>
              </w:rPr>
              <w:t>charges</w:t>
            </w:r>
            <w:r w:rsidRPr="00763D5F">
              <w:rPr>
                <w:rFonts w:ascii="Arial" w:hAnsi="Arial" w:cs="Arial"/>
                <w:b/>
                <w:color w:val="000000" w:themeColor="text1"/>
                <w:spacing w:val="18"/>
                <w:w w:val="105"/>
                <w:sz w:val="16"/>
                <w:szCs w:val="16"/>
              </w:rPr>
              <w:t xml:space="preserve"> </w:t>
            </w:r>
            <w:r w:rsidR="004A4B70" w:rsidRPr="00763D5F">
              <w:rPr>
                <w:rFonts w:ascii="Arial" w:hAnsi="Arial" w:cs="Arial"/>
                <w:b/>
                <w:color w:val="000000" w:themeColor="text1"/>
                <w:spacing w:val="-1"/>
                <w:w w:val="105"/>
                <w:sz w:val="16"/>
                <w:szCs w:val="16"/>
              </w:rPr>
              <w:t>0.</w:t>
            </w:r>
            <w:r w:rsidR="00387B54" w:rsidRPr="00763D5F">
              <w:rPr>
                <w:rFonts w:ascii="Arial" w:hAnsi="Arial" w:cs="Arial"/>
                <w:b/>
                <w:color w:val="000000" w:themeColor="text1"/>
                <w:spacing w:val="-1"/>
                <w:w w:val="105"/>
                <w:sz w:val="16"/>
                <w:szCs w:val="16"/>
              </w:rPr>
              <w:t>3</w:t>
            </w:r>
            <w:r w:rsidR="00763D5F" w:rsidRPr="00763D5F">
              <w:rPr>
                <w:rFonts w:ascii="Arial" w:hAnsi="Arial" w:cs="Arial"/>
                <w:b/>
                <w:color w:val="000000" w:themeColor="text1"/>
                <w:spacing w:val="-1"/>
                <w:w w:val="105"/>
                <w:sz w:val="16"/>
                <w:szCs w:val="16"/>
              </w:rPr>
              <w:t>41</w:t>
            </w:r>
            <w:r w:rsidRPr="00763D5F">
              <w:rPr>
                <w:rFonts w:ascii="Arial" w:hAnsi="Arial" w:cs="Arial"/>
                <w:b/>
                <w:color w:val="000000" w:themeColor="text1"/>
                <w:spacing w:val="-1"/>
                <w:w w:val="105"/>
                <w:sz w:val="16"/>
                <w:szCs w:val="16"/>
              </w:rPr>
              <w:t>%</w:t>
            </w:r>
            <w:r w:rsidR="007D5155" w:rsidRPr="00763D5F">
              <w:rPr>
                <w:rFonts w:ascii="Arial" w:hAnsi="Arial" w:cs="Arial"/>
                <w:b/>
                <w:color w:val="000000" w:themeColor="text1"/>
                <w:spacing w:val="-1"/>
                <w:w w:val="105"/>
                <w:sz w:val="16"/>
                <w:szCs w:val="16"/>
              </w:rPr>
              <w:t xml:space="preserve"> pa</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1F1F1"/>
          </w:tcPr>
          <w:p w14:paraId="53155AE6" w14:textId="2539B851" w:rsidR="00CF529B" w:rsidRPr="00763D5F" w:rsidRDefault="00CF529B" w:rsidP="00CF529B">
            <w:pPr>
              <w:pStyle w:val="TableParagraph"/>
              <w:spacing w:before="45"/>
              <w:jc w:val="center"/>
              <w:rPr>
                <w:rFonts w:ascii="Arial" w:hAnsi="Arial" w:cs="Arial"/>
                <w:b/>
                <w:color w:val="000000" w:themeColor="text1"/>
                <w:spacing w:val="-1"/>
                <w:w w:val="105"/>
                <w:sz w:val="16"/>
                <w:szCs w:val="16"/>
              </w:rPr>
            </w:pPr>
            <w:r w:rsidRPr="00763D5F">
              <w:rPr>
                <w:rFonts w:ascii="Arial" w:hAnsi="Arial" w:cs="Arial"/>
                <w:b/>
                <w:color w:val="000000" w:themeColor="text1"/>
                <w:spacing w:val="-1"/>
                <w:w w:val="105"/>
                <w:sz w:val="16"/>
                <w:szCs w:val="16"/>
              </w:rPr>
              <w:t>Assumed</w:t>
            </w:r>
            <w:r w:rsidRPr="00763D5F">
              <w:rPr>
                <w:rFonts w:ascii="Arial" w:hAnsi="Arial" w:cs="Arial"/>
                <w:b/>
                <w:color w:val="000000" w:themeColor="text1"/>
                <w:spacing w:val="-3"/>
                <w:w w:val="105"/>
                <w:sz w:val="16"/>
                <w:szCs w:val="16"/>
              </w:rPr>
              <w:t xml:space="preserve"> </w:t>
            </w:r>
            <w:r w:rsidRPr="00763D5F">
              <w:rPr>
                <w:rFonts w:ascii="Arial" w:hAnsi="Arial" w:cs="Arial"/>
                <w:b/>
                <w:color w:val="000000" w:themeColor="text1"/>
                <w:spacing w:val="-1"/>
                <w:w w:val="105"/>
                <w:sz w:val="16"/>
                <w:szCs w:val="16"/>
              </w:rPr>
              <w:t>costs</w:t>
            </w:r>
            <w:r w:rsidRPr="00763D5F">
              <w:rPr>
                <w:rFonts w:ascii="Arial" w:hAnsi="Arial" w:cs="Arial"/>
                <w:b/>
                <w:color w:val="000000" w:themeColor="text1"/>
                <w:spacing w:val="-3"/>
                <w:w w:val="105"/>
                <w:sz w:val="16"/>
                <w:szCs w:val="16"/>
              </w:rPr>
              <w:t xml:space="preserve"> </w:t>
            </w:r>
            <w:r w:rsidRPr="00763D5F">
              <w:rPr>
                <w:rFonts w:ascii="Arial" w:hAnsi="Arial" w:cs="Arial"/>
                <w:b/>
                <w:color w:val="000000" w:themeColor="text1"/>
                <w:spacing w:val="-1"/>
                <w:w w:val="105"/>
                <w:sz w:val="16"/>
                <w:szCs w:val="16"/>
              </w:rPr>
              <w:t>and</w:t>
            </w:r>
            <w:r w:rsidRPr="00763D5F">
              <w:rPr>
                <w:rFonts w:ascii="Arial" w:hAnsi="Arial" w:cs="Arial"/>
                <w:b/>
                <w:color w:val="000000" w:themeColor="text1"/>
                <w:spacing w:val="-2"/>
                <w:w w:val="105"/>
                <w:sz w:val="16"/>
                <w:szCs w:val="16"/>
              </w:rPr>
              <w:t xml:space="preserve"> </w:t>
            </w:r>
            <w:r w:rsidRPr="00763D5F">
              <w:rPr>
                <w:rFonts w:ascii="Arial" w:hAnsi="Arial" w:cs="Arial"/>
                <w:b/>
                <w:color w:val="000000" w:themeColor="text1"/>
                <w:spacing w:val="-1"/>
                <w:w w:val="105"/>
                <w:sz w:val="16"/>
                <w:szCs w:val="16"/>
              </w:rPr>
              <w:t>charges</w:t>
            </w:r>
            <w:r w:rsidRPr="00763D5F">
              <w:rPr>
                <w:rFonts w:ascii="Arial" w:hAnsi="Arial" w:cs="Arial"/>
                <w:b/>
                <w:color w:val="000000" w:themeColor="text1"/>
                <w:spacing w:val="18"/>
                <w:w w:val="105"/>
                <w:sz w:val="16"/>
                <w:szCs w:val="16"/>
              </w:rPr>
              <w:t xml:space="preserve"> </w:t>
            </w:r>
            <w:r w:rsidR="004A4B70" w:rsidRPr="00763D5F">
              <w:rPr>
                <w:rFonts w:ascii="Arial" w:hAnsi="Arial" w:cs="Arial"/>
                <w:b/>
                <w:color w:val="000000" w:themeColor="text1"/>
                <w:spacing w:val="-1"/>
                <w:w w:val="105"/>
                <w:sz w:val="16"/>
                <w:szCs w:val="16"/>
              </w:rPr>
              <w:t>0.</w:t>
            </w:r>
            <w:r w:rsidR="00387B54" w:rsidRPr="00763D5F">
              <w:rPr>
                <w:rFonts w:ascii="Arial" w:hAnsi="Arial" w:cs="Arial"/>
                <w:b/>
                <w:color w:val="000000" w:themeColor="text1"/>
                <w:spacing w:val="-1"/>
                <w:w w:val="105"/>
                <w:sz w:val="16"/>
                <w:szCs w:val="16"/>
              </w:rPr>
              <w:t>331</w:t>
            </w:r>
            <w:r w:rsidRPr="00763D5F">
              <w:rPr>
                <w:rFonts w:ascii="Arial" w:hAnsi="Arial" w:cs="Arial"/>
                <w:b/>
                <w:color w:val="000000" w:themeColor="text1"/>
                <w:spacing w:val="-1"/>
                <w:w w:val="105"/>
                <w:sz w:val="16"/>
                <w:szCs w:val="16"/>
              </w:rPr>
              <w:t>%</w:t>
            </w:r>
            <w:r w:rsidR="007D5155" w:rsidRPr="00763D5F">
              <w:rPr>
                <w:rFonts w:ascii="Arial" w:hAnsi="Arial" w:cs="Arial"/>
                <w:b/>
                <w:color w:val="000000" w:themeColor="text1"/>
                <w:spacing w:val="-1"/>
                <w:w w:val="105"/>
                <w:sz w:val="16"/>
                <w:szCs w:val="16"/>
              </w:rPr>
              <w:t xml:space="preserve"> pa</w:t>
            </w:r>
          </w:p>
        </w:tc>
      </w:tr>
      <w:tr w:rsidR="001427F1" w:rsidRPr="001427F1" w14:paraId="0A4DBD95" w14:textId="754D19DF" w:rsidTr="008765C2">
        <w:trPr>
          <w:trHeight w:hRule="exact" w:val="1926"/>
        </w:trPr>
        <w:tc>
          <w:tcPr>
            <w:tcW w:w="607" w:type="dxa"/>
            <w:tcBorders>
              <w:top w:val="single" w:sz="8" w:space="0" w:color="000000"/>
              <w:left w:val="single" w:sz="8" w:space="0" w:color="000000"/>
              <w:bottom w:val="single" w:sz="8" w:space="0" w:color="000000"/>
              <w:right w:val="single" w:sz="8" w:space="0" w:color="000000"/>
            </w:tcBorders>
            <w:vAlign w:val="center"/>
          </w:tcPr>
          <w:p w14:paraId="2539534A" w14:textId="77777777" w:rsidR="00CF529B" w:rsidRPr="00763D5F" w:rsidRDefault="00CF529B" w:rsidP="00CF529B">
            <w:pPr>
              <w:pStyle w:val="TableParagraph"/>
              <w:jc w:val="center"/>
              <w:rPr>
                <w:rFonts w:ascii="Arial" w:eastAsia="Source Sans Pro" w:hAnsi="Arial" w:cs="Arial"/>
                <w:color w:val="000000" w:themeColor="text1"/>
                <w:sz w:val="16"/>
                <w:szCs w:val="16"/>
              </w:rPr>
            </w:pPr>
            <w:r w:rsidRPr="00763D5F">
              <w:rPr>
                <w:rFonts w:ascii="Arial" w:hAnsi="Arial" w:cs="Arial"/>
                <w:b/>
                <w:color w:val="000000" w:themeColor="text1"/>
                <w:w w:val="105"/>
                <w:sz w:val="16"/>
                <w:szCs w:val="16"/>
              </w:rPr>
              <w:t>At</w:t>
            </w:r>
            <w:r w:rsidRPr="00763D5F">
              <w:rPr>
                <w:rFonts w:ascii="Arial" w:hAnsi="Arial" w:cs="Arial"/>
                <w:b/>
                <w:color w:val="000000" w:themeColor="text1"/>
                <w:spacing w:val="-4"/>
                <w:w w:val="105"/>
                <w:sz w:val="16"/>
                <w:szCs w:val="16"/>
              </w:rPr>
              <w:t xml:space="preserve"> </w:t>
            </w:r>
            <w:r w:rsidRPr="00763D5F">
              <w:rPr>
                <w:rFonts w:ascii="Arial" w:hAnsi="Arial" w:cs="Arial"/>
                <w:b/>
                <w:color w:val="000000" w:themeColor="text1"/>
                <w:spacing w:val="-1"/>
                <w:w w:val="105"/>
                <w:sz w:val="16"/>
                <w:szCs w:val="16"/>
              </w:rPr>
              <w:t xml:space="preserve">end </w:t>
            </w:r>
            <w:r w:rsidRPr="00763D5F">
              <w:rPr>
                <w:rFonts w:ascii="Arial" w:hAnsi="Arial" w:cs="Arial"/>
                <w:b/>
                <w:color w:val="000000" w:themeColor="text1"/>
                <w:w w:val="105"/>
                <w:sz w:val="16"/>
                <w:szCs w:val="16"/>
              </w:rPr>
              <w:t>of</w:t>
            </w:r>
            <w:r w:rsidRPr="00763D5F">
              <w:rPr>
                <w:rFonts w:ascii="Arial" w:hAnsi="Arial" w:cs="Arial"/>
                <w:b/>
                <w:color w:val="000000" w:themeColor="text1"/>
                <w:spacing w:val="-3"/>
                <w:w w:val="105"/>
                <w:sz w:val="16"/>
                <w:szCs w:val="16"/>
              </w:rPr>
              <w:t xml:space="preserve"> </w:t>
            </w:r>
            <w:r w:rsidRPr="00763D5F">
              <w:rPr>
                <w:rFonts w:ascii="Arial" w:hAnsi="Arial" w:cs="Arial"/>
                <w:b/>
                <w:color w:val="000000" w:themeColor="text1"/>
                <w:spacing w:val="-1"/>
                <w:w w:val="105"/>
                <w:sz w:val="16"/>
                <w:szCs w:val="16"/>
              </w:rPr>
              <w:t>year</w:t>
            </w:r>
          </w:p>
        </w:tc>
        <w:tc>
          <w:tcPr>
            <w:tcW w:w="1134" w:type="dxa"/>
            <w:tcBorders>
              <w:top w:val="single" w:sz="8" w:space="0" w:color="000000"/>
              <w:left w:val="single" w:sz="8" w:space="0" w:color="000000"/>
              <w:bottom w:val="single" w:sz="8" w:space="0" w:color="000000"/>
              <w:right w:val="single" w:sz="8" w:space="0" w:color="000000"/>
            </w:tcBorders>
          </w:tcPr>
          <w:p w14:paraId="233CFBED" w14:textId="00233AB7" w:rsidR="00CF529B" w:rsidRPr="00763D5F" w:rsidRDefault="00CF529B" w:rsidP="00CF529B">
            <w:pPr>
              <w:pStyle w:val="TableParagraph"/>
              <w:spacing w:before="76" w:line="287" w:lineRule="auto"/>
              <w:ind w:left="61" w:right="55"/>
              <w:jc w:val="center"/>
              <w:rPr>
                <w:rFonts w:ascii="Arial" w:eastAsia="Source Sans Pro" w:hAnsi="Arial" w:cs="Arial"/>
                <w:color w:val="000000" w:themeColor="text1"/>
                <w:sz w:val="16"/>
                <w:szCs w:val="16"/>
              </w:rPr>
            </w:pPr>
            <w:r w:rsidRPr="00763D5F">
              <w:rPr>
                <w:rFonts w:ascii="Arial" w:hAnsi="Arial" w:cs="Arial"/>
                <w:b/>
                <w:color w:val="000000" w:themeColor="text1"/>
                <w:spacing w:val="-1"/>
                <w:w w:val="105"/>
                <w:sz w:val="16"/>
                <w:szCs w:val="16"/>
              </w:rPr>
              <w:t>Projected</w:t>
            </w:r>
            <w:r w:rsidRPr="00763D5F">
              <w:rPr>
                <w:rFonts w:ascii="Arial" w:hAnsi="Arial" w:cs="Arial"/>
                <w:b/>
                <w:color w:val="000000" w:themeColor="text1"/>
                <w:spacing w:val="-6"/>
                <w:w w:val="105"/>
                <w:sz w:val="16"/>
                <w:szCs w:val="16"/>
              </w:rPr>
              <w:t xml:space="preserve"> </w:t>
            </w:r>
            <w:r w:rsidRPr="00763D5F">
              <w:rPr>
                <w:rFonts w:ascii="Arial" w:hAnsi="Arial" w:cs="Arial"/>
                <w:b/>
                <w:color w:val="000000" w:themeColor="text1"/>
                <w:spacing w:val="-1"/>
                <w:w w:val="105"/>
                <w:sz w:val="16"/>
                <w:szCs w:val="16"/>
              </w:rPr>
              <w:t>value</w:t>
            </w:r>
            <w:r w:rsidRPr="00763D5F">
              <w:rPr>
                <w:rFonts w:ascii="Arial" w:hAnsi="Arial" w:cs="Arial"/>
                <w:b/>
                <w:color w:val="000000" w:themeColor="text1"/>
                <w:spacing w:val="29"/>
                <w:w w:val="104"/>
                <w:sz w:val="16"/>
                <w:szCs w:val="16"/>
              </w:rPr>
              <w:t xml:space="preserve"> </w:t>
            </w:r>
            <w:r w:rsidR="008765C2" w:rsidRPr="00763D5F">
              <w:rPr>
                <w:rFonts w:ascii="Arial" w:hAnsi="Arial" w:cs="Arial"/>
                <w:b/>
                <w:color w:val="000000" w:themeColor="text1"/>
                <w:spacing w:val="29"/>
                <w:w w:val="104"/>
                <w:sz w:val="16"/>
                <w:szCs w:val="16"/>
              </w:rPr>
              <w:t xml:space="preserve">in today’s money </w:t>
            </w:r>
            <w:r w:rsidRPr="00763D5F">
              <w:rPr>
                <w:rFonts w:ascii="Arial" w:hAnsi="Arial" w:cs="Arial"/>
                <w:b/>
                <w:color w:val="000000" w:themeColor="text1"/>
                <w:spacing w:val="-1"/>
                <w:w w:val="105"/>
                <w:sz w:val="16"/>
                <w:szCs w:val="16"/>
              </w:rPr>
              <w:t>assuming</w:t>
            </w:r>
            <w:r w:rsidRPr="00763D5F">
              <w:rPr>
                <w:rFonts w:ascii="Arial" w:hAnsi="Arial" w:cs="Arial"/>
                <w:b/>
                <w:color w:val="000000" w:themeColor="text1"/>
                <w:spacing w:val="-5"/>
                <w:w w:val="105"/>
                <w:sz w:val="16"/>
                <w:szCs w:val="16"/>
              </w:rPr>
              <w:t xml:space="preserve"> </w:t>
            </w:r>
            <w:r w:rsidRPr="00763D5F">
              <w:rPr>
                <w:rFonts w:ascii="Arial" w:hAnsi="Arial" w:cs="Arial"/>
                <w:b/>
                <w:color w:val="000000" w:themeColor="text1"/>
                <w:spacing w:val="-1"/>
                <w:w w:val="105"/>
                <w:sz w:val="16"/>
                <w:szCs w:val="16"/>
              </w:rPr>
              <w:t>no</w:t>
            </w:r>
            <w:r w:rsidRPr="00763D5F">
              <w:rPr>
                <w:rFonts w:ascii="Arial" w:hAnsi="Arial" w:cs="Arial"/>
                <w:b/>
                <w:color w:val="000000" w:themeColor="text1"/>
                <w:spacing w:val="22"/>
                <w:w w:val="104"/>
                <w:sz w:val="16"/>
                <w:szCs w:val="16"/>
              </w:rPr>
              <w:t xml:space="preserve"> </w:t>
            </w:r>
            <w:r w:rsidRPr="00763D5F">
              <w:rPr>
                <w:rFonts w:ascii="Arial" w:hAnsi="Arial" w:cs="Arial"/>
                <w:b/>
                <w:color w:val="000000" w:themeColor="text1"/>
                <w:spacing w:val="-1"/>
                <w:w w:val="105"/>
                <w:sz w:val="16"/>
                <w:szCs w:val="16"/>
              </w:rPr>
              <w:t>charges</w:t>
            </w:r>
            <w:r w:rsidRPr="00763D5F">
              <w:rPr>
                <w:rFonts w:ascii="Arial" w:hAnsi="Arial" w:cs="Arial"/>
                <w:b/>
                <w:color w:val="000000" w:themeColor="text1"/>
                <w:spacing w:val="-6"/>
                <w:w w:val="105"/>
                <w:sz w:val="16"/>
                <w:szCs w:val="16"/>
              </w:rPr>
              <w:t xml:space="preserve"> </w:t>
            </w:r>
            <w:r w:rsidRPr="00763D5F">
              <w:rPr>
                <w:rFonts w:ascii="Arial" w:hAnsi="Arial" w:cs="Arial"/>
                <w:b/>
                <w:color w:val="000000" w:themeColor="text1"/>
                <w:spacing w:val="-1"/>
                <w:w w:val="105"/>
                <w:sz w:val="16"/>
                <w:szCs w:val="16"/>
              </w:rPr>
              <w:t>are</w:t>
            </w:r>
            <w:r w:rsidRPr="00763D5F">
              <w:rPr>
                <w:rFonts w:ascii="Arial" w:hAnsi="Arial" w:cs="Arial"/>
                <w:b/>
                <w:color w:val="000000" w:themeColor="text1"/>
                <w:spacing w:val="25"/>
                <w:w w:val="104"/>
                <w:sz w:val="16"/>
                <w:szCs w:val="16"/>
              </w:rPr>
              <w:t xml:space="preserve"> </w:t>
            </w:r>
            <w:r w:rsidRPr="00763D5F">
              <w:rPr>
                <w:rFonts w:ascii="Arial" w:hAnsi="Arial" w:cs="Arial"/>
                <w:b/>
                <w:color w:val="000000" w:themeColor="text1"/>
                <w:spacing w:val="-1"/>
                <w:w w:val="105"/>
                <w:sz w:val="16"/>
                <w:szCs w:val="16"/>
              </w:rPr>
              <w:t>taken</w:t>
            </w:r>
          </w:p>
        </w:tc>
        <w:tc>
          <w:tcPr>
            <w:tcW w:w="1134" w:type="dxa"/>
            <w:tcBorders>
              <w:top w:val="single" w:sz="8" w:space="0" w:color="000000"/>
              <w:left w:val="single" w:sz="8" w:space="0" w:color="000000"/>
              <w:bottom w:val="single" w:sz="8" w:space="0" w:color="000000"/>
              <w:right w:val="single" w:sz="8" w:space="0" w:color="000000"/>
            </w:tcBorders>
          </w:tcPr>
          <w:p w14:paraId="759975DB" w14:textId="72044FFE" w:rsidR="00CF529B" w:rsidRPr="00763D5F" w:rsidRDefault="00CF529B" w:rsidP="00CF529B">
            <w:pPr>
              <w:pStyle w:val="TableParagraph"/>
              <w:spacing w:before="76" w:line="287" w:lineRule="auto"/>
              <w:ind w:left="61" w:right="55"/>
              <w:jc w:val="center"/>
              <w:rPr>
                <w:rFonts w:ascii="Arial" w:eastAsia="Source Sans Pro" w:hAnsi="Arial" w:cs="Arial"/>
                <w:color w:val="000000" w:themeColor="text1"/>
                <w:sz w:val="16"/>
                <w:szCs w:val="16"/>
              </w:rPr>
            </w:pPr>
            <w:r w:rsidRPr="00763D5F">
              <w:rPr>
                <w:rFonts w:ascii="Arial" w:hAnsi="Arial" w:cs="Arial"/>
                <w:b/>
                <w:color w:val="000000" w:themeColor="text1"/>
                <w:spacing w:val="-1"/>
                <w:w w:val="105"/>
                <w:sz w:val="16"/>
                <w:szCs w:val="16"/>
              </w:rPr>
              <w:t>Projected</w:t>
            </w:r>
            <w:r w:rsidRPr="00763D5F">
              <w:rPr>
                <w:rFonts w:ascii="Arial" w:hAnsi="Arial" w:cs="Arial"/>
                <w:b/>
                <w:color w:val="000000" w:themeColor="text1"/>
                <w:spacing w:val="-6"/>
                <w:w w:val="105"/>
                <w:sz w:val="16"/>
                <w:szCs w:val="16"/>
              </w:rPr>
              <w:t xml:space="preserve"> </w:t>
            </w:r>
            <w:r w:rsidRPr="00763D5F">
              <w:rPr>
                <w:rFonts w:ascii="Arial" w:hAnsi="Arial" w:cs="Arial"/>
                <w:b/>
                <w:color w:val="000000" w:themeColor="text1"/>
                <w:spacing w:val="-1"/>
                <w:w w:val="105"/>
                <w:sz w:val="16"/>
                <w:szCs w:val="16"/>
              </w:rPr>
              <w:t>value</w:t>
            </w:r>
            <w:r w:rsidRPr="00763D5F">
              <w:rPr>
                <w:rFonts w:ascii="Arial" w:hAnsi="Arial" w:cs="Arial"/>
                <w:b/>
                <w:color w:val="000000" w:themeColor="text1"/>
                <w:spacing w:val="29"/>
                <w:w w:val="104"/>
                <w:sz w:val="16"/>
                <w:szCs w:val="16"/>
              </w:rPr>
              <w:t xml:space="preserve"> </w:t>
            </w:r>
            <w:r w:rsidR="008765C2" w:rsidRPr="00763D5F">
              <w:rPr>
                <w:rFonts w:ascii="Arial" w:hAnsi="Arial" w:cs="Arial"/>
                <w:b/>
                <w:color w:val="000000" w:themeColor="text1"/>
                <w:spacing w:val="29"/>
                <w:w w:val="104"/>
                <w:sz w:val="16"/>
                <w:szCs w:val="16"/>
              </w:rPr>
              <w:t xml:space="preserve">in today’s money </w:t>
            </w:r>
            <w:r w:rsidRPr="00763D5F">
              <w:rPr>
                <w:rFonts w:ascii="Arial" w:hAnsi="Arial" w:cs="Arial"/>
                <w:b/>
                <w:color w:val="000000" w:themeColor="text1"/>
                <w:spacing w:val="-1"/>
                <w:w w:val="105"/>
                <w:sz w:val="16"/>
                <w:szCs w:val="16"/>
              </w:rPr>
              <w:t>after</w:t>
            </w:r>
            <w:r w:rsidRPr="00763D5F">
              <w:rPr>
                <w:rFonts w:ascii="Arial" w:hAnsi="Arial" w:cs="Arial"/>
                <w:b/>
                <w:color w:val="000000" w:themeColor="text1"/>
                <w:spacing w:val="-4"/>
                <w:w w:val="105"/>
                <w:sz w:val="16"/>
                <w:szCs w:val="16"/>
              </w:rPr>
              <w:t xml:space="preserve"> </w:t>
            </w:r>
            <w:r w:rsidRPr="00763D5F">
              <w:rPr>
                <w:rFonts w:ascii="Arial" w:hAnsi="Arial" w:cs="Arial"/>
                <w:b/>
                <w:color w:val="000000" w:themeColor="text1"/>
                <w:spacing w:val="-1"/>
                <w:w w:val="105"/>
                <w:sz w:val="16"/>
                <w:szCs w:val="16"/>
              </w:rPr>
              <w:t>costs</w:t>
            </w:r>
            <w:r w:rsidRPr="00763D5F">
              <w:rPr>
                <w:rFonts w:ascii="Arial" w:hAnsi="Arial" w:cs="Arial"/>
                <w:b/>
                <w:color w:val="000000" w:themeColor="text1"/>
                <w:spacing w:val="-3"/>
                <w:w w:val="105"/>
                <w:sz w:val="16"/>
                <w:szCs w:val="16"/>
              </w:rPr>
              <w:t xml:space="preserve"> </w:t>
            </w:r>
            <w:r w:rsidRPr="00763D5F">
              <w:rPr>
                <w:rFonts w:ascii="Arial" w:hAnsi="Arial" w:cs="Arial"/>
                <w:b/>
                <w:color w:val="000000" w:themeColor="text1"/>
                <w:spacing w:val="-1"/>
                <w:w w:val="105"/>
                <w:sz w:val="16"/>
                <w:szCs w:val="16"/>
              </w:rPr>
              <w:t>and</w:t>
            </w:r>
            <w:r w:rsidRPr="00763D5F">
              <w:rPr>
                <w:rFonts w:ascii="Arial" w:hAnsi="Arial" w:cs="Arial"/>
                <w:b/>
                <w:color w:val="000000" w:themeColor="text1"/>
                <w:spacing w:val="24"/>
                <w:w w:val="104"/>
                <w:sz w:val="16"/>
                <w:szCs w:val="16"/>
              </w:rPr>
              <w:t xml:space="preserve"> </w:t>
            </w:r>
            <w:r w:rsidRPr="00763D5F">
              <w:rPr>
                <w:rFonts w:ascii="Arial" w:hAnsi="Arial" w:cs="Arial"/>
                <w:b/>
                <w:color w:val="000000" w:themeColor="text1"/>
                <w:spacing w:val="-1"/>
                <w:w w:val="105"/>
                <w:sz w:val="16"/>
                <w:szCs w:val="16"/>
              </w:rPr>
              <w:t>charges</w:t>
            </w:r>
            <w:r w:rsidRPr="00763D5F">
              <w:rPr>
                <w:rFonts w:ascii="Arial" w:hAnsi="Arial" w:cs="Arial"/>
                <w:b/>
                <w:color w:val="000000" w:themeColor="text1"/>
                <w:spacing w:val="-6"/>
                <w:w w:val="105"/>
                <w:sz w:val="16"/>
                <w:szCs w:val="16"/>
              </w:rPr>
              <w:t xml:space="preserve"> </w:t>
            </w:r>
            <w:r w:rsidRPr="00763D5F">
              <w:rPr>
                <w:rFonts w:ascii="Arial" w:hAnsi="Arial" w:cs="Arial"/>
                <w:b/>
                <w:color w:val="000000" w:themeColor="text1"/>
                <w:spacing w:val="-1"/>
                <w:w w:val="105"/>
                <w:sz w:val="16"/>
                <w:szCs w:val="16"/>
              </w:rPr>
              <w:t>are</w:t>
            </w:r>
            <w:r w:rsidRPr="00763D5F">
              <w:rPr>
                <w:rFonts w:ascii="Arial" w:hAnsi="Arial" w:cs="Arial"/>
                <w:b/>
                <w:color w:val="000000" w:themeColor="text1"/>
                <w:spacing w:val="25"/>
                <w:w w:val="104"/>
                <w:sz w:val="16"/>
                <w:szCs w:val="16"/>
              </w:rPr>
              <w:t xml:space="preserve"> </w:t>
            </w:r>
            <w:r w:rsidRPr="00763D5F">
              <w:rPr>
                <w:rFonts w:ascii="Arial" w:hAnsi="Arial" w:cs="Arial"/>
                <w:b/>
                <w:color w:val="000000" w:themeColor="text1"/>
                <w:spacing w:val="-1"/>
                <w:w w:val="105"/>
                <w:sz w:val="16"/>
                <w:szCs w:val="16"/>
              </w:rPr>
              <w:t>taken</w:t>
            </w:r>
          </w:p>
        </w:tc>
        <w:tc>
          <w:tcPr>
            <w:tcW w:w="1276" w:type="dxa"/>
            <w:tcBorders>
              <w:top w:val="single" w:sz="8" w:space="0" w:color="000000"/>
              <w:left w:val="single" w:sz="8" w:space="0" w:color="000000"/>
              <w:bottom w:val="single" w:sz="8" w:space="0" w:color="000000"/>
              <w:right w:val="single" w:sz="8" w:space="0" w:color="000000"/>
            </w:tcBorders>
          </w:tcPr>
          <w:p w14:paraId="1B4B4CB2" w14:textId="2A7DCA98" w:rsidR="00CF529B" w:rsidRPr="00763D5F" w:rsidRDefault="00CF529B" w:rsidP="00CF529B">
            <w:pPr>
              <w:pStyle w:val="TableParagraph"/>
              <w:spacing w:before="76" w:line="287" w:lineRule="auto"/>
              <w:ind w:left="61" w:right="55"/>
              <w:jc w:val="center"/>
              <w:rPr>
                <w:rFonts w:ascii="Arial" w:eastAsia="Source Sans Pro" w:hAnsi="Arial" w:cs="Arial"/>
                <w:color w:val="000000" w:themeColor="text1"/>
                <w:sz w:val="16"/>
                <w:szCs w:val="16"/>
              </w:rPr>
            </w:pPr>
            <w:r w:rsidRPr="00763D5F">
              <w:rPr>
                <w:rFonts w:ascii="Arial" w:hAnsi="Arial" w:cs="Arial"/>
                <w:b/>
                <w:color w:val="000000" w:themeColor="text1"/>
                <w:spacing w:val="-1"/>
                <w:w w:val="105"/>
                <w:sz w:val="16"/>
                <w:szCs w:val="16"/>
              </w:rPr>
              <w:t>Projected</w:t>
            </w:r>
            <w:r w:rsidRPr="00763D5F">
              <w:rPr>
                <w:rFonts w:ascii="Arial" w:hAnsi="Arial" w:cs="Arial"/>
                <w:b/>
                <w:color w:val="000000" w:themeColor="text1"/>
                <w:spacing w:val="-6"/>
                <w:w w:val="105"/>
                <w:sz w:val="16"/>
                <w:szCs w:val="16"/>
              </w:rPr>
              <w:t xml:space="preserve"> </w:t>
            </w:r>
            <w:r w:rsidRPr="00763D5F">
              <w:rPr>
                <w:rFonts w:ascii="Arial" w:hAnsi="Arial" w:cs="Arial"/>
                <w:b/>
                <w:color w:val="000000" w:themeColor="text1"/>
                <w:spacing w:val="-1"/>
                <w:w w:val="105"/>
                <w:sz w:val="16"/>
                <w:szCs w:val="16"/>
              </w:rPr>
              <w:t>value</w:t>
            </w:r>
            <w:r w:rsidRPr="00763D5F">
              <w:rPr>
                <w:rFonts w:ascii="Arial" w:hAnsi="Arial" w:cs="Arial"/>
                <w:b/>
                <w:color w:val="000000" w:themeColor="text1"/>
                <w:spacing w:val="29"/>
                <w:w w:val="104"/>
                <w:sz w:val="16"/>
                <w:szCs w:val="16"/>
              </w:rPr>
              <w:t xml:space="preserve"> </w:t>
            </w:r>
            <w:r w:rsidR="008765C2" w:rsidRPr="00763D5F">
              <w:rPr>
                <w:rFonts w:ascii="Arial" w:hAnsi="Arial" w:cs="Arial"/>
                <w:b/>
                <w:color w:val="000000" w:themeColor="text1"/>
                <w:spacing w:val="29"/>
                <w:w w:val="104"/>
                <w:sz w:val="16"/>
                <w:szCs w:val="16"/>
              </w:rPr>
              <w:t xml:space="preserve">in today’s money </w:t>
            </w:r>
            <w:r w:rsidRPr="00763D5F">
              <w:rPr>
                <w:rFonts w:ascii="Arial" w:hAnsi="Arial" w:cs="Arial"/>
                <w:b/>
                <w:color w:val="000000" w:themeColor="text1"/>
                <w:spacing w:val="-1"/>
                <w:w w:val="105"/>
                <w:sz w:val="16"/>
                <w:szCs w:val="16"/>
              </w:rPr>
              <w:t>assuming</w:t>
            </w:r>
            <w:r w:rsidRPr="00763D5F">
              <w:rPr>
                <w:rFonts w:ascii="Arial" w:hAnsi="Arial" w:cs="Arial"/>
                <w:b/>
                <w:color w:val="000000" w:themeColor="text1"/>
                <w:spacing w:val="-5"/>
                <w:w w:val="105"/>
                <w:sz w:val="16"/>
                <w:szCs w:val="16"/>
              </w:rPr>
              <w:t xml:space="preserve"> </w:t>
            </w:r>
            <w:r w:rsidRPr="00763D5F">
              <w:rPr>
                <w:rFonts w:ascii="Arial" w:hAnsi="Arial" w:cs="Arial"/>
                <w:b/>
                <w:color w:val="000000" w:themeColor="text1"/>
                <w:spacing w:val="-1"/>
                <w:w w:val="105"/>
                <w:sz w:val="16"/>
                <w:szCs w:val="16"/>
              </w:rPr>
              <w:t>no</w:t>
            </w:r>
            <w:r w:rsidRPr="00763D5F">
              <w:rPr>
                <w:rFonts w:ascii="Arial" w:hAnsi="Arial" w:cs="Arial"/>
                <w:b/>
                <w:color w:val="000000" w:themeColor="text1"/>
                <w:spacing w:val="22"/>
                <w:w w:val="104"/>
                <w:sz w:val="16"/>
                <w:szCs w:val="16"/>
              </w:rPr>
              <w:t xml:space="preserve"> </w:t>
            </w:r>
            <w:r w:rsidRPr="00763D5F">
              <w:rPr>
                <w:rFonts w:ascii="Arial" w:hAnsi="Arial" w:cs="Arial"/>
                <w:b/>
                <w:color w:val="000000" w:themeColor="text1"/>
                <w:spacing w:val="-1"/>
                <w:w w:val="105"/>
                <w:sz w:val="16"/>
                <w:szCs w:val="16"/>
              </w:rPr>
              <w:t>charges</w:t>
            </w:r>
            <w:r w:rsidRPr="00763D5F">
              <w:rPr>
                <w:rFonts w:ascii="Arial" w:hAnsi="Arial" w:cs="Arial"/>
                <w:b/>
                <w:color w:val="000000" w:themeColor="text1"/>
                <w:spacing w:val="-6"/>
                <w:w w:val="105"/>
                <w:sz w:val="16"/>
                <w:szCs w:val="16"/>
              </w:rPr>
              <w:t xml:space="preserve"> </w:t>
            </w:r>
            <w:r w:rsidRPr="00763D5F">
              <w:rPr>
                <w:rFonts w:ascii="Arial" w:hAnsi="Arial" w:cs="Arial"/>
                <w:b/>
                <w:color w:val="000000" w:themeColor="text1"/>
                <w:spacing w:val="-1"/>
                <w:w w:val="105"/>
                <w:sz w:val="16"/>
                <w:szCs w:val="16"/>
              </w:rPr>
              <w:t>are</w:t>
            </w:r>
            <w:r w:rsidRPr="00763D5F">
              <w:rPr>
                <w:rFonts w:ascii="Arial" w:hAnsi="Arial" w:cs="Arial"/>
                <w:b/>
                <w:color w:val="000000" w:themeColor="text1"/>
                <w:spacing w:val="25"/>
                <w:w w:val="104"/>
                <w:sz w:val="16"/>
                <w:szCs w:val="16"/>
              </w:rPr>
              <w:t xml:space="preserve"> </w:t>
            </w:r>
            <w:r w:rsidRPr="00763D5F">
              <w:rPr>
                <w:rFonts w:ascii="Arial" w:hAnsi="Arial" w:cs="Arial"/>
                <w:b/>
                <w:color w:val="000000" w:themeColor="text1"/>
                <w:spacing w:val="-1"/>
                <w:w w:val="105"/>
                <w:sz w:val="16"/>
                <w:szCs w:val="16"/>
              </w:rPr>
              <w:t>taken</w:t>
            </w:r>
          </w:p>
        </w:tc>
        <w:tc>
          <w:tcPr>
            <w:tcW w:w="1134" w:type="dxa"/>
            <w:tcBorders>
              <w:top w:val="single" w:sz="8" w:space="0" w:color="000000"/>
              <w:left w:val="single" w:sz="8" w:space="0" w:color="000000"/>
              <w:bottom w:val="single" w:sz="8" w:space="0" w:color="000000"/>
              <w:right w:val="single" w:sz="8" w:space="0" w:color="000000"/>
            </w:tcBorders>
          </w:tcPr>
          <w:p w14:paraId="32C9FF23" w14:textId="36D204DB" w:rsidR="00CF529B" w:rsidRPr="00763D5F" w:rsidRDefault="00CF529B" w:rsidP="00CF529B">
            <w:pPr>
              <w:pStyle w:val="TableParagraph"/>
              <w:spacing w:before="76" w:line="287" w:lineRule="auto"/>
              <w:ind w:left="61" w:right="55"/>
              <w:jc w:val="center"/>
              <w:rPr>
                <w:rFonts w:ascii="Arial" w:eastAsia="Source Sans Pro" w:hAnsi="Arial" w:cs="Arial"/>
                <w:color w:val="000000" w:themeColor="text1"/>
                <w:sz w:val="16"/>
                <w:szCs w:val="16"/>
              </w:rPr>
            </w:pPr>
            <w:r w:rsidRPr="00763D5F">
              <w:rPr>
                <w:rFonts w:ascii="Arial" w:hAnsi="Arial" w:cs="Arial"/>
                <w:b/>
                <w:color w:val="000000" w:themeColor="text1"/>
                <w:spacing w:val="-1"/>
                <w:w w:val="105"/>
                <w:sz w:val="16"/>
                <w:szCs w:val="16"/>
              </w:rPr>
              <w:t>Projected</w:t>
            </w:r>
            <w:r w:rsidRPr="00763D5F">
              <w:rPr>
                <w:rFonts w:ascii="Arial" w:hAnsi="Arial" w:cs="Arial"/>
                <w:b/>
                <w:color w:val="000000" w:themeColor="text1"/>
                <w:spacing w:val="-6"/>
                <w:w w:val="105"/>
                <w:sz w:val="16"/>
                <w:szCs w:val="16"/>
              </w:rPr>
              <w:t xml:space="preserve"> </w:t>
            </w:r>
            <w:r w:rsidRPr="00763D5F">
              <w:rPr>
                <w:rFonts w:ascii="Arial" w:hAnsi="Arial" w:cs="Arial"/>
                <w:b/>
                <w:color w:val="000000" w:themeColor="text1"/>
                <w:spacing w:val="-1"/>
                <w:w w:val="105"/>
                <w:sz w:val="16"/>
                <w:szCs w:val="16"/>
              </w:rPr>
              <w:t>value</w:t>
            </w:r>
            <w:r w:rsidRPr="00763D5F">
              <w:rPr>
                <w:rFonts w:ascii="Arial" w:hAnsi="Arial" w:cs="Arial"/>
                <w:b/>
                <w:color w:val="000000" w:themeColor="text1"/>
                <w:spacing w:val="29"/>
                <w:w w:val="104"/>
                <w:sz w:val="16"/>
                <w:szCs w:val="16"/>
              </w:rPr>
              <w:t xml:space="preserve"> </w:t>
            </w:r>
            <w:r w:rsidR="008765C2" w:rsidRPr="00763D5F">
              <w:rPr>
                <w:rFonts w:ascii="Arial" w:hAnsi="Arial" w:cs="Arial"/>
                <w:b/>
                <w:color w:val="000000" w:themeColor="text1"/>
                <w:spacing w:val="29"/>
                <w:w w:val="104"/>
                <w:sz w:val="16"/>
                <w:szCs w:val="16"/>
              </w:rPr>
              <w:t xml:space="preserve">in today’s money </w:t>
            </w:r>
            <w:r w:rsidRPr="00763D5F">
              <w:rPr>
                <w:rFonts w:ascii="Arial" w:hAnsi="Arial" w:cs="Arial"/>
                <w:b/>
                <w:color w:val="000000" w:themeColor="text1"/>
                <w:spacing w:val="-1"/>
                <w:w w:val="105"/>
                <w:sz w:val="16"/>
                <w:szCs w:val="16"/>
              </w:rPr>
              <w:t>assuming</w:t>
            </w:r>
            <w:r w:rsidRPr="00763D5F">
              <w:rPr>
                <w:rFonts w:ascii="Arial" w:hAnsi="Arial" w:cs="Arial"/>
                <w:b/>
                <w:color w:val="000000" w:themeColor="text1"/>
                <w:spacing w:val="-5"/>
                <w:w w:val="105"/>
                <w:sz w:val="16"/>
                <w:szCs w:val="16"/>
              </w:rPr>
              <w:t xml:space="preserve"> </w:t>
            </w:r>
            <w:r w:rsidRPr="00763D5F">
              <w:rPr>
                <w:rFonts w:ascii="Arial" w:hAnsi="Arial" w:cs="Arial"/>
                <w:b/>
                <w:color w:val="000000" w:themeColor="text1"/>
                <w:spacing w:val="-1"/>
                <w:w w:val="105"/>
                <w:sz w:val="16"/>
                <w:szCs w:val="16"/>
              </w:rPr>
              <w:t>no</w:t>
            </w:r>
            <w:r w:rsidRPr="00763D5F">
              <w:rPr>
                <w:rFonts w:ascii="Arial" w:hAnsi="Arial" w:cs="Arial"/>
                <w:b/>
                <w:color w:val="000000" w:themeColor="text1"/>
                <w:spacing w:val="22"/>
                <w:w w:val="104"/>
                <w:sz w:val="16"/>
                <w:szCs w:val="16"/>
              </w:rPr>
              <w:t xml:space="preserve"> </w:t>
            </w:r>
            <w:r w:rsidRPr="00763D5F">
              <w:rPr>
                <w:rFonts w:ascii="Arial" w:hAnsi="Arial" w:cs="Arial"/>
                <w:b/>
                <w:color w:val="000000" w:themeColor="text1"/>
                <w:spacing w:val="-1"/>
                <w:w w:val="105"/>
                <w:sz w:val="16"/>
                <w:szCs w:val="16"/>
              </w:rPr>
              <w:t>charges</w:t>
            </w:r>
            <w:r w:rsidRPr="00763D5F">
              <w:rPr>
                <w:rFonts w:ascii="Arial" w:hAnsi="Arial" w:cs="Arial"/>
                <w:b/>
                <w:color w:val="000000" w:themeColor="text1"/>
                <w:spacing w:val="-6"/>
                <w:w w:val="105"/>
                <w:sz w:val="16"/>
                <w:szCs w:val="16"/>
              </w:rPr>
              <w:t xml:space="preserve"> </w:t>
            </w:r>
            <w:r w:rsidRPr="00763D5F">
              <w:rPr>
                <w:rFonts w:ascii="Arial" w:hAnsi="Arial" w:cs="Arial"/>
                <w:b/>
                <w:color w:val="000000" w:themeColor="text1"/>
                <w:spacing w:val="-1"/>
                <w:w w:val="105"/>
                <w:sz w:val="16"/>
                <w:szCs w:val="16"/>
              </w:rPr>
              <w:t>are</w:t>
            </w:r>
            <w:r w:rsidRPr="00763D5F">
              <w:rPr>
                <w:rFonts w:ascii="Arial" w:hAnsi="Arial" w:cs="Arial"/>
                <w:b/>
                <w:color w:val="000000" w:themeColor="text1"/>
                <w:spacing w:val="25"/>
                <w:w w:val="104"/>
                <w:sz w:val="16"/>
                <w:szCs w:val="16"/>
              </w:rPr>
              <w:t xml:space="preserve"> </w:t>
            </w:r>
            <w:r w:rsidRPr="00763D5F">
              <w:rPr>
                <w:rFonts w:ascii="Arial" w:hAnsi="Arial" w:cs="Arial"/>
                <w:b/>
                <w:color w:val="000000" w:themeColor="text1"/>
                <w:spacing w:val="-1"/>
                <w:w w:val="105"/>
                <w:sz w:val="16"/>
                <w:szCs w:val="16"/>
              </w:rPr>
              <w:t>taken</w:t>
            </w:r>
          </w:p>
        </w:tc>
        <w:tc>
          <w:tcPr>
            <w:tcW w:w="1134" w:type="dxa"/>
            <w:tcBorders>
              <w:top w:val="single" w:sz="8" w:space="0" w:color="000000"/>
              <w:left w:val="single" w:sz="8" w:space="0" w:color="000000"/>
              <w:bottom w:val="single" w:sz="8" w:space="0" w:color="000000"/>
              <w:right w:val="single" w:sz="8" w:space="0" w:color="000000"/>
            </w:tcBorders>
          </w:tcPr>
          <w:p w14:paraId="0A318C69" w14:textId="32112505" w:rsidR="00CF529B" w:rsidRPr="00763D5F" w:rsidRDefault="00CF529B" w:rsidP="00CF529B">
            <w:pPr>
              <w:pStyle w:val="TableParagraph"/>
              <w:spacing w:before="76" w:line="287" w:lineRule="auto"/>
              <w:ind w:left="61" w:right="55"/>
              <w:jc w:val="center"/>
              <w:rPr>
                <w:rFonts w:ascii="Arial" w:hAnsi="Arial" w:cs="Arial"/>
                <w:b/>
                <w:color w:val="000000" w:themeColor="text1"/>
                <w:spacing w:val="-1"/>
                <w:w w:val="105"/>
                <w:sz w:val="16"/>
                <w:szCs w:val="16"/>
              </w:rPr>
            </w:pPr>
            <w:r w:rsidRPr="00763D5F">
              <w:rPr>
                <w:rFonts w:ascii="Arial" w:hAnsi="Arial" w:cs="Arial"/>
                <w:b/>
                <w:color w:val="000000" w:themeColor="text1"/>
                <w:spacing w:val="-1"/>
                <w:w w:val="105"/>
                <w:sz w:val="16"/>
                <w:szCs w:val="16"/>
              </w:rPr>
              <w:t>Projected</w:t>
            </w:r>
            <w:r w:rsidRPr="00763D5F">
              <w:rPr>
                <w:rFonts w:ascii="Arial" w:hAnsi="Arial" w:cs="Arial"/>
                <w:b/>
                <w:color w:val="000000" w:themeColor="text1"/>
                <w:spacing w:val="-6"/>
                <w:w w:val="105"/>
                <w:sz w:val="16"/>
                <w:szCs w:val="16"/>
              </w:rPr>
              <w:t xml:space="preserve"> </w:t>
            </w:r>
            <w:r w:rsidRPr="00763D5F">
              <w:rPr>
                <w:rFonts w:ascii="Arial" w:hAnsi="Arial" w:cs="Arial"/>
                <w:b/>
                <w:color w:val="000000" w:themeColor="text1"/>
                <w:spacing w:val="-1"/>
                <w:w w:val="105"/>
                <w:sz w:val="16"/>
                <w:szCs w:val="16"/>
              </w:rPr>
              <w:t>value</w:t>
            </w:r>
            <w:r w:rsidRPr="00763D5F">
              <w:rPr>
                <w:rFonts w:ascii="Arial" w:hAnsi="Arial" w:cs="Arial"/>
                <w:b/>
                <w:color w:val="000000" w:themeColor="text1"/>
                <w:spacing w:val="29"/>
                <w:w w:val="104"/>
                <w:sz w:val="16"/>
                <w:szCs w:val="16"/>
              </w:rPr>
              <w:t xml:space="preserve"> </w:t>
            </w:r>
            <w:r w:rsidR="008765C2" w:rsidRPr="00763D5F">
              <w:rPr>
                <w:rFonts w:ascii="Arial" w:hAnsi="Arial" w:cs="Arial"/>
                <w:b/>
                <w:color w:val="000000" w:themeColor="text1"/>
                <w:spacing w:val="29"/>
                <w:w w:val="104"/>
                <w:sz w:val="16"/>
                <w:szCs w:val="16"/>
              </w:rPr>
              <w:t xml:space="preserve">in today’s money </w:t>
            </w:r>
            <w:r w:rsidRPr="00763D5F">
              <w:rPr>
                <w:rFonts w:ascii="Arial" w:hAnsi="Arial" w:cs="Arial"/>
                <w:b/>
                <w:color w:val="000000" w:themeColor="text1"/>
                <w:spacing w:val="-1"/>
                <w:w w:val="105"/>
                <w:sz w:val="16"/>
                <w:szCs w:val="16"/>
              </w:rPr>
              <w:t>assuming</w:t>
            </w:r>
            <w:r w:rsidRPr="00763D5F">
              <w:rPr>
                <w:rFonts w:ascii="Arial" w:hAnsi="Arial" w:cs="Arial"/>
                <w:b/>
                <w:color w:val="000000" w:themeColor="text1"/>
                <w:spacing w:val="-5"/>
                <w:w w:val="105"/>
                <w:sz w:val="16"/>
                <w:szCs w:val="16"/>
              </w:rPr>
              <w:t xml:space="preserve"> </w:t>
            </w:r>
            <w:r w:rsidRPr="00763D5F">
              <w:rPr>
                <w:rFonts w:ascii="Arial" w:hAnsi="Arial" w:cs="Arial"/>
                <w:b/>
                <w:color w:val="000000" w:themeColor="text1"/>
                <w:spacing w:val="-1"/>
                <w:w w:val="105"/>
                <w:sz w:val="16"/>
                <w:szCs w:val="16"/>
              </w:rPr>
              <w:t>no</w:t>
            </w:r>
            <w:r w:rsidRPr="00763D5F">
              <w:rPr>
                <w:rFonts w:ascii="Arial" w:hAnsi="Arial" w:cs="Arial"/>
                <w:b/>
                <w:color w:val="000000" w:themeColor="text1"/>
                <w:spacing w:val="22"/>
                <w:w w:val="104"/>
                <w:sz w:val="16"/>
                <w:szCs w:val="16"/>
              </w:rPr>
              <w:t xml:space="preserve"> </w:t>
            </w:r>
            <w:r w:rsidRPr="00763D5F">
              <w:rPr>
                <w:rFonts w:ascii="Arial" w:hAnsi="Arial" w:cs="Arial"/>
                <w:b/>
                <w:color w:val="000000" w:themeColor="text1"/>
                <w:spacing w:val="-1"/>
                <w:w w:val="105"/>
                <w:sz w:val="16"/>
                <w:szCs w:val="16"/>
              </w:rPr>
              <w:t>charges</w:t>
            </w:r>
            <w:r w:rsidRPr="00763D5F">
              <w:rPr>
                <w:rFonts w:ascii="Arial" w:hAnsi="Arial" w:cs="Arial"/>
                <w:b/>
                <w:color w:val="000000" w:themeColor="text1"/>
                <w:spacing w:val="-6"/>
                <w:w w:val="105"/>
                <w:sz w:val="16"/>
                <w:szCs w:val="16"/>
              </w:rPr>
              <w:t xml:space="preserve"> </w:t>
            </w:r>
            <w:r w:rsidRPr="00763D5F">
              <w:rPr>
                <w:rFonts w:ascii="Arial" w:hAnsi="Arial" w:cs="Arial"/>
                <w:b/>
                <w:color w:val="000000" w:themeColor="text1"/>
                <w:spacing w:val="-1"/>
                <w:w w:val="105"/>
                <w:sz w:val="16"/>
                <w:szCs w:val="16"/>
              </w:rPr>
              <w:t>are</w:t>
            </w:r>
            <w:r w:rsidRPr="00763D5F">
              <w:rPr>
                <w:rFonts w:ascii="Arial" w:hAnsi="Arial" w:cs="Arial"/>
                <w:b/>
                <w:color w:val="000000" w:themeColor="text1"/>
                <w:spacing w:val="25"/>
                <w:w w:val="104"/>
                <w:sz w:val="16"/>
                <w:szCs w:val="16"/>
              </w:rPr>
              <w:t xml:space="preserve"> </w:t>
            </w:r>
            <w:r w:rsidRPr="00763D5F">
              <w:rPr>
                <w:rFonts w:ascii="Arial" w:hAnsi="Arial" w:cs="Arial"/>
                <w:b/>
                <w:color w:val="000000" w:themeColor="text1"/>
                <w:spacing w:val="-1"/>
                <w:w w:val="105"/>
                <w:sz w:val="16"/>
                <w:szCs w:val="16"/>
              </w:rPr>
              <w:t>taken</w:t>
            </w:r>
          </w:p>
        </w:tc>
        <w:tc>
          <w:tcPr>
            <w:tcW w:w="1134" w:type="dxa"/>
            <w:tcBorders>
              <w:top w:val="single" w:sz="8" w:space="0" w:color="000000"/>
              <w:left w:val="single" w:sz="8" w:space="0" w:color="000000"/>
              <w:bottom w:val="single" w:sz="8" w:space="0" w:color="000000"/>
              <w:right w:val="single" w:sz="8" w:space="0" w:color="000000"/>
            </w:tcBorders>
          </w:tcPr>
          <w:p w14:paraId="53E89490" w14:textId="56C5F407" w:rsidR="00CF529B" w:rsidRPr="00763D5F" w:rsidRDefault="00CF529B" w:rsidP="00CF529B">
            <w:pPr>
              <w:pStyle w:val="TableParagraph"/>
              <w:spacing w:before="76" w:line="287" w:lineRule="auto"/>
              <w:ind w:left="61" w:right="55"/>
              <w:jc w:val="center"/>
              <w:rPr>
                <w:rFonts w:ascii="Arial" w:hAnsi="Arial" w:cs="Arial"/>
                <w:b/>
                <w:color w:val="000000" w:themeColor="text1"/>
                <w:spacing w:val="-1"/>
                <w:w w:val="105"/>
                <w:sz w:val="16"/>
                <w:szCs w:val="16"/>
              </w:rPr>
            </w:pPr>
            <w:r w:rsidRPr="00763D5F">
              <w:rPr>
                <w:rFonts w:ascii="Arial" w:hAnsi="Arial" w:cs="Arial"/>
                <w:b/>
                <w:color w:val="000000" w:themeColor="text1"/>
                <w:spacing w:val="-1"/>
                <w:w w:val="105"/>
                <w:sz w:val="16"/>
                <w:szCs w:val="16"/>
              </w:rPr>
              <w:t>Projected</w:t>
            </w:r>
            <w:r w:rsidRPr="00763D5F">
              <w:rPr>
                <w:rFonts w:ascii="Arial" w:hAnsi="Arial" w:cs="Arial"/>
                <w:b/>
                <w:color w:val="000000" w:themeColor="text1"/>
                <w:spacing w:val="-6"/>
                <w:w w:val="105"/>
                <w:sz w:val="16"/>
                <w:szCs w:val="16"/>
              </w:rPr>
              <w:t xml:space="preserve"> </w:t>
            </w:r>
            <w:r w:rsidRPr="00763D5F">
              <w:rPr>
                <w:rFonts w:ascii="Arial" w:hAnsi="Arial" w:cs="Arial"/>
                <w:b/>
                <w:color w:val="000000" w:themeColor="text1"/>
                <w:spacing w:val="-1"/>
                <w:w w:val="105"/>
                <w:sz w:val="16"/>
                <w:szCs w:val="16"/>
              </w:rPr>
              <w:t>value</w:t>
            </w:r>
            <w:r w:rsidRPr="00763D5F">
              <w:rPr>
                <w:rFonts w:ascii="Arial" w:hAnsi="Arial" w:cs="Arial"/>
                <w:b/>
                <w:color w:val="000000" w:themeColor="text1"/>
                <w:spacing w:val="29"/>
                <w:w w:val="104"/>
                <w:sz w:val="16"/>
                <w:szCs w:val="16"/>
              </w:rPr>
              <w:t xml:space="preserve"> </w:t>
            </w:r>
            <w:r w:rsidR="008765C2" w:rsidRPr="00763D5F">
              <w:rPr>
                <w:rFonts w:ascii="Arial" w:hAnsi="Arial" w:cs="Arial"/>
                <w:b/>
                <w:color w:val="000000" w:themeColor="text1"/>
                <w:spacing w:val="29"/>
                <w:w w:val="104"/>
                <w:sz w:val="16"/>
                <w:szCs w:val="16"/>
              </w:rPr>
              <w:t xml:space="preserve">in today’s money </w:t>
            </w:r>
            <w:r w:rsidRPr="00763D5F">
              <w:rPr>
                <w:rFonts w:ascii="Arial" w:hAnsi="Arial" w:cs="Arial"/>
                <w:b/>
                <w:color w:val="000000" w:themeColor="text1"/>
                <w:spacing w:val="-1"/>
                <w:w w:val="105"/>
                <w:sz w:val="16"/>
                <w:szCs w:val="16"/>
              </w:rPr>
              <w:t>after</w:t>
            </w:r>
            <w:r w:rsidRPr="00763D5F">
              <w:rPr>
                <w:rFonts w:ascii="Arial" w:hAnsi="Arial" w:cs="Arial"/>
                <w:b/>
                <w:color w:val="000000" w:themeColor="text1"/>
                <w:spacing w:val="-4"/>
                <w:w w:val="105"/>
                <w:sz w:val="16"/>
                <w:szCs w:val="16"/>
              </w:rPr>
              <w:t xml:space="preserve"> </w:t>
            </w:r>
            <w:r w:rsidRPr="00763D5F">
              <w:rPr>
                <w:rFonts w:ascii="Arial" w:hAnsi="Arial" w:cs="Arial"/>
                <w:b/>
                <w:color w:val="000000" w:themeColor="text1"/>
                <w:spacing w:val="-1"/>
                <w:w w:val="105"/>
                <w:sz w:val="16"/>
                <w:szCs w:val="16"/>
              </w:rPr>
              <w:t>costs</w:t>
            </w:r>
            <w:r w:rsidRPr="00763D5F">
              <w:rPr>
                <w:rFonts w:ascii="Arial" w:hAnsi="Arial" w:cs="Arial"/>
                <w:b/>
                <w:color w:val="000000" w:themeColor="text1"/>
                <w:spacing w:val="-3"/>
                <w:w w:val="105"/>
                <w:sz w:val="16"/>
                <w:szCs w:val="16"/>
              </w:rPr>
              <w:t xml:space="preserve"> </w:t>
            </w:r>
            <w:r w:rsidRPr="00763D5F">
              <w:rPr>
                <w:rFonts w:ascii="Arial" w:hAnsi="Arial" w:cs="Arial"/>
                <w:b/>
                <w:color w:val="000000" w:themeColor="text1"/>
                <w:spacing w:val="-1"/>
                <w:w w:val="105"/>
                <w:sz w:val="16"/>
                <w:szCs w:val="16"/>
              </w:rPr>
              <w:t>and</w:t>
            </w:r>
            <w:r w:rsidRPr="00763D5F">
              <w:rPr>
                <w:rFonts w:ascii="Arial" w:hAnsi="Arial" w:cs="Arial"/>
                <w:b/>
                <w:color w:val="000000" w:themeColor="text1"/>
                <w:spacing w:val="24"/>
                <w:w w:val="104"/>
                <w:sz w:val="16"/>
                <w:szCs w:val="16"/>
              </w:rPr>
              <w:t xml:space="preserve"> </w:t>
            </w:r>
            <w:r w:rsidRPr="00763D5F">
              <w:rPr>
                <w:rFonts w:ascii="Arial" w:hAnsi="Arial" w:cs="Arial"/>
                <w:b/>
                <w:color w:val="000000" w:themeColor="text1"/>
                <w:spacing w:val="-1"/>
                <w:w w:val="105"/>
                <w:sz w:val="16"/>
                <w:szCs w:val="16"/>
              </w:rPr>
              <w:t>charges</w:t>
            </w:r>
            <w:r w:rsidRPr="00763D5F">
              <w:rPr>
                <w:rFonts w:ascii="Arial" w:hAnsi="Arial" w:cs="Arial"/>
                <w:b/>
                <w:color w:val="000000" w:themeColor="text1"/>
                <w:spacing w:val="-6"/>
                <w:w w:val="105"/>
                <w:sz w:val="16"/>
                <w:szCs w:val="16"/>
              </w:rPr>
              <w:t xml:space="preserve"> </w:t>
            </w:r>
            <w:r w:rsidRPr="00763D5F">
              <w:rPr>
                <w:rFonts w:ascii="Arial" w:hAnsi="Arial" w:cs="Arial"/>
                <w:b/>
                <w:color w:val="000000" w:themeColor="text1"/>
                <w:spacing w:val="-1"/>
                <w:w w:val="105"/>
                <w:sz w:val="16"/>
                <w:szCs w:val="16"/>
              </w:rPr>
              <w:t>are</w:t>
            </w:r>
            <w:r w:rsidRPr="00763D5F">
              <w:rPr>
                <w:rFonts w:ascii="Arial" w:hAnsi="Arial" w:cs="Arial"/>
                <w:b/>
                <w:color w:val="000000" w:themeColor="text1"/>
                <w:spacing w:val="25"/>
                <w:w w:val="104"/>
                <w:sz w:val="16"/>
                <w:szCs w:val="16"/>
              </w:rPr>
              <w:t xml:space="preserve"> </w:t>
            </w:r>
            <w:r w:rsidRPr="00763D5F">
              <w:rPr>
                <w:rFonts w:ascii="Arial" w:hAnsi="Arial" w:cs="Arial"/>
                <w:b/>
                <w:color w:val="000000" w:themeColor="text1"/>
                <w:spacing w:val="-1"/>
                <w:w w:val="105"/>
                <w:sz w:val="16"/>
                <w:szCs w:val="16"/>
              </w:rPr>
              <w:t>taken</w:t>
            </w:r>
          </w:p>
        </w:tc>
        <w:tc>
          <w:tcPr>
            <w:tcW w:w="1134" w:type="dxa"/>
            <w:tcBorders>
              <w:top w:val="single" w:sz="8" w:space="0" w:color="000000"/>
              <w:left w:val="single" w:sz="8" w:space="0" w:color="000000"/>
              <w:bottom w:val="single" w:sz="8" w:space="0" w:color="000000"/>
              <w:right w:val="single" w:sz="8" w:space="0" w:color="000000"/>
            </w:tcBorders>
          </w:tcPr>
          <w:p w14:paraId="5EDC10B3" w14:textId="032F87C3" w:rsidR="00CF529B" w:rsidRPr="00763D5F" w:rsidRDefault="00CF529B" w:rsidP="00CF529B">
            <w:pPr>
              <w:pStyle w:val="TableParagraph"/>
              <w:spacing w:before="76" w:line="287" w:lineRule="auto"/>
              <w:ind w:left="61" w:right="55"/>
              <w:jc w:val="center"/>
              <w:rPr>
                <w:rFonts w:ascii="Arial" w:hAnsi="Arial" w:cs="Arial"/>
                <w:b/>
                <w:color w:val="000000" w:themeColor="text1"/>
                <w:spacing w:val="-1"/>
                <w:w w:val="105"/>
                <w:sz w:val="16"/>
                <w:szCs w:val="16"/>
              </w:rPr>
            </w:pPr>
            <w:r w:rsidRPr="00763D5F">
              <w:rPr>
                <w:rFonts w:ascii="Arial" w:hAnsi="Arial" w:cs="Arial"/>
                <w:b/>
                <w:color w:val="000000" w:themeColor="text1"/>
                <w:spacing w:val="-1"/>
                <w:w w:val="105"/>
                <w:sz w:val="16"/>
                <w:szCs w:val="16"/>
              </w:rPr>
              <w:t>Projected</w:t>
            </w:r>
            <w:r w:rsidRPr="00763D5F">
              <w:rPr>
                <w:rFonts w:ascii="Arial" w:hAnsi="Arial" w:cs="Arial"/>
                <w:b/>
                <w:color w:val="000000" w:themeColor="text1"/>
                <w:spacing w:val="-6"/>
                <w:w w:val="105"/>
                <w:sz w:val="16"/>
                <w:szCs w:val="16"/>
              </w:rPr>
              <w:t xml:space="preserve"> </w:t>
            </w:r>
            <w:r w:rsidRPr="00763D5F">
              <w:rPr>
                <w:rFonts w:ascii="Arial" w:hAnsi="Arial" w:cs="Arial"/>
                <w:b/>
                <w:color w:val="000000" w:themeColor="text1"/>
                <w:spacing w:val="-1"/>
                <w:w w:val="105"/>
                <w:sz w:val="16"/>
                <w:szCs w:val="16"/>
              </w:rPr>
              <w:t>value</w:t>
            </w:r>
            <w:r w:rsidRPr="00763D5F">
              <w:rPr>
                <w:rFonts w:ascii="Arial" w:hAnsi="Arial" w:cs="Arial"/>
                <w:b/>
                <w:color w:val="000000" w:themeColor="text1"/>
                <w:spacing w:val="29"/>
                <w:w w:val="104"/>
                <w:sz w:val="16"/>
                <w:szCs w:val="16"/>
              </w:rPr>
              <w:t xml:space="preserve"> </w:t>
            </w:r>
            <w:r w:rsidR="008765C2" w:rsidRPr="00763D5F">
              <w:rPr>
                <w:rFonts w:ascii="Arial" w:hAnsi="Arial" w:cs="Arial"/>
                <w:b/>
                <w:color w:val="000000" w:themeColor="text1"/>
                <w:spacing w:val="29"/>
                <w:w w:val="104"/>
                <w:sz w:val="16"/>
                <w:szCs w:val="16"/>
              </w:rPr>
              <w:t xml:space="preserve">in today’s money </w:t>
            </w:r>
            <w:r w:rsidRPr="00763D5F">
              <w:rPr>
                <w:rFonts w:ascii="Arial" w:hAnsi="Arial" w:cs="Arial"/>
                <w:b/>
                <w:color w:val="000000" w:themeColor="text1"/>
                <w:spacing w:val="-1"/>
                <w:w w:val="105"/>
                <w:sz w:val="16"/>
                <w:szCs w:val="16"/>
              </w:rPr>
              <w:t>assuming</w:t>
            </w:r>
            <w:r w:rsidRPr="00763D5F">
              <w:rPr>
                <w:rFonts w:ascii="Arial" w:hAnsi="Arial" w:cs="Arial"/>
                <w:b/>
                <w:color w:val="000000" w:themeColor="text1"/>
                <w:spacing w:val="-5"/>
                <w:w w:val="105"/>
                <w:sz w:val="16"/>
                <w:szCs w:val="16"/>
              </w:rPr>
              <w:t xml:space="preserve"> </w:t>
            </w:r>
            <w:r w:rsidRPr="00763D5F">
              <w:rPr>
                <w:rFonts w:ascii="Arial" w:hAnsi="Arial" w:cs="Arial"/>
                <w:b/>
                <w:color w:val="000000" w:themeColor="text1"/>
                <w:spacing w:val="-1"/>
                <w:w w:val="105"/>
                <w:sz w:val="16"/>
                <w:szCs w:val="16"/>
              </w:rPr>
              <w:t>no</w:t>
            </w:r>
            <w:r w:rsidRPr="00763D5F">
              <w:rPr>
                <w:rFonts w:ascii="Arial" w:hAnsi="Arial" w:cs="Arial"/>
                <w:b/>
                <w:color w:val="000000" w:themeColor="text1"/>
                <w:spacing w:val="22"/>
                <w:w w:val="104"/>
                <w:sz w:val="16"/>
                <w:szCs w:val="16"/>
              </w:rPr>
              <w:t xml:space="preserve"> </w:t>
            </w:r>
            <w:r w:rsidRPr="00763D5F">
              <w:rPr>
                <w:rFonts w:ascii="Arial" w:hAnsi="Arial" w:cs="Arial"/>
                <w:b/>
                <w:color w:val="000000" w:themeColor="text1"/>
                <w:spacing w:val="-1"/>
                <w:w w:val="105"/>
                <w:sz w:val="16"/>
                <w:szCs w:val="16"/>
              </w:rPr>
              <w:t>charges</w:t>
            </w:r>
            <w:r w:rsidRPr="00763D5F">
              <w:rPr>
                <w:rFonts w:ascii="Arial" w:hAnsi="Arial" w:cs="Arial"/>
                <w:b/>
                <w:color w:val="000000" w:themeColor="text1"/>
                <w:spacing w:val="-6"/>
                <w:w w:val="105"/>
                <w:sz w:val="16"/>
                <w:szCs w:val="16"/>
              </w:rPr>
              <w:t xml:space="preserve"> </w:t>
            </w:r>
            <w:r w:rsidRPr="00763D5F">
              <w:rPr>
                <w:rFonts w:ascii="Arial" w:hAnsi="Arial" w:cs="Arial"/>
                <w:b/>
                <w:color w:val="000000" w:themeColor="text1"/>
                <w:spacing w:val="-1"/>
                <w:w w:val="105"/>
                <w:sz w:val="16"/>
                <w:szCs w:val="16"/>
              </w:rPr>
              <w:t>are</w:t>
            </w:r>
            <w:r w:rsidRPr="00763D5F">
              <w:rPr>
                <w:rFonts w:ascii="Arial" w:hAnsi="Arial" w:cs="Arial"/>
                <w:b/>
                <w:color w:val="000000" w:themeColor="text1"/>
                <w:spacing w:val="25"/>
                <w:w w:val="104"/>
                <w:sz w:val="16"/>
                <w:szCs w:val="16"/>
              </w:rPr>
              <w:t xml:space="preserve"> </w:t>
            </w:r>
            <w:r w:rsidRPr="00763D5F">
              <w:rPr>
                <w:rFonts w:ascii="Arial" w:hAnsi="Arial" w:cs="Arial"/>
                <w:b/>
                <w:color w:val="000000" w:themeColor="text1"/>
                <w:spacing w:val="-1"/>
                <w:w w:val="105"/>
                <w:sz w:val="16"/>
                <w:szCs w:val="16"/>
              </w:rPr>
              <w:t>taken</w:t>
            </w:r>
          </w:p>
        </w:tc>
        <w:tc>
          <w:tcPr>
            <w:tcW w:w="1276" w:type="dxa"/>
            <w:tcBorders>
              <w:top w:val="single" w:sz="8" w:space="0" w:color="000000"/>
              <w:left w:val="single" w:sz="8" w:space="0" w:color="000000"/>
              <w:bottom w:val="single" w:sz="8" w:space="0" w:color="000000"/>
              <w:right w:val="single" w:sz="8" w:space="0" w:color="000000"/>
            </w:tcBorders>
          </w:tcPr>
          <w:p w14:paraId="29E66491" w14:textId="517807CD" w:rsidR="00CF529B" w:rsidRPr="00763D5F" w:rsidRDefault="00CF529B" w:rsidP="00CF529B">
            <w:pPr>
              <w:pStyle w:val="TableParagraph"/>
              <w:spacing w:before="76" w:line="287" w:lineRule="auto"/>
              <w:ind w:left="61" w:right="55"/>
              <w:jc w:val="center"/>
              <w:rPr>
                <w:rFonts w:ascii="Arial" w:hAnsi="Arial" w:cs="Arial"/>
                <w:b/>
                <w:color w:val="000000" w:themeColor="text1"/>
                <w:spacing w:val="-1"/>
                <w:w w:val="105"/>
                <w:sz w:val="16"/>
                <w:szCs w:val="16"/>
              </w:rPr>
            </w:pPr>
            <w:r w:rsidRPr="00763D5F">
              <w:rPr>
                <w:rFonts w:ascii="Arial" w:hAnsi="Arial" w:cs="Arial"/>
                <w:b/>
                <w:color w:val="000000" w:themeColor="text1"/>
                <w:spacing w:val="-1"/>
                <w:w w:val="105"/>
                <w:sz w:val="16"/>
                <w:szCs w:val="16"/>
              </w:rPr>
              <w:t>Projected</w:t>
            </w:r>
            <w:r w:rsidRPr="00763D5F">
              <w:rPr>
                <w:rFonts w:ascii="Arial" w:hAnsi="Arial" w:cs="Arial"/>
                <w:b/>
                <w:color w:val="000000" w:themeColor="text1"/>
                <w:spacing w:val="-6"/>
                <w:w w:val="105"/>
                <w:sz w:val="16"/>
                <w:szCs w:val="16"/>
              </w:rPr>
              <w:t xml:space="preserve"> </w:t>
            </w:r>
            <w:r w:rsidRPr="00763D5F">
              <w:rPr>
                <w:rFonts w:ascii="Arial" w:hAnsi="Arial" w:cs="Arial"/>
                <w:b/>
                <w:color w:val="000000" w:themeColor="text1"/>
                <w:spacing w:val="-1"/>
                <w:w w:val="105"/>
                <w:sz w:val="16"/>
                <w:szCs w:val="16"/>
              </w:rPr>
              <w:t>value</w:t>
            </w:r>
            <w:r w:rsidRPr="00763D5F">
              <w:rPr>
                <w:rFonts w:ascii="Arial" w:hAnsi="Arial" w:cs="Arial"/>
                <w:b/>
                <w:color w:val="000000" w:themeColor="text1"/>
                <w:spacing w:val="29"/>
                <w:w w:val="104"/>
                <w:sz w:val="16"/>
                <w:szCs w:val="16"/>
              </w:rPr>
              <w:t xml:space="preserve"> </w:t>
            </w:r>
            <w:r w:rsidR="008765C2" w:rsidRPr="00763D5F">
              <w:rPr>
                <w:rFonts w:ascii="Arial" w:hAnsi="Arial" w:cs="Arial"/>
                <w:b/>
                <w:color w:val="000000" w:themeColor="text1"/>
                <w:spacing w:val="29"/>
                <w:w w:val="104"/>
                <w:sz w:val="16"/>
                <w:szCs w:val="16"/>
              </w:rPr>
              <w:t xml:space="preserve">in today’s money </w:t>
            </w:r>
            <w:r w:rsidRPr="00763D5F">
              <w:rPr>
                <w:rFonts w:ascii="Arial" w:hAnsi="Arial" w:cs="Arial"/>
                <w:b/>
                <w:color w:val="000000" w:themeColor="text1"/>
                <w:spacing w:val="-1"/>
                <w:w w:val="105"/>
                <w:sz w:val="16"/>
                <w:szCs w:val="16"/>
              </w:rPr>
              <w:t>after</w:t>
            </w:r>
            <w:r w:rsidRPr="00763D5F">
              <w:rPr>
                <w:rFonts w:ascii="Arial" w:hAnsi="Arial" w:cs="Arial"/>
                <w:b/>
                <w:color w:val="000000" w:themeColor="text1"/>
                <w:spacing w:val="-4"/>
                <w:w w:val="105"/>
                <w:sz w:val="16"/>
                <w:szCs w:val="16"/>
              </w:rPr>
              <w:t xml:space="preserve"> </w:t>
            </w:r>
            <w:r w:rsidRPr="00763D5F">
              <w:rPr>
                <w:rFonts w:ascii="Arial" w:hAnsi="Arial" w:cs="Arial"/>
                <w:b/>
                <w:color w:val="000000" w:themeColor="text1"/>
                <w:spacing w:val="-1"/>
                <w:w w:val="105"/>
                <w:sz w:val="16"/>
                <w:szCs w:val="16"/>
              </w:rPr>
              <w:t>costs</w:t>
            </w:r>
            <w:r w:rsidRPr="00763D5F">
              <w:rPr>
                <w:rFonts w:ascii="Arial" w:hAnsi="Arial" w:cs="Arial"/>
                <w:b/>
                <w:color w:val="000000" w:themeColor="text1"/>
                <w:spacing w:val="-3"/>
                <w:w w:val="105"/>
                <w:sz w:val="16"/>
                <w:szCs w:val="16"/>
              </w:rPr>
              <w:t xml:space="preserve"> </w:t>
            </w:r>
            <w:r w:rsidRPr="00763D5F">
              <w:rPr>
                <w:rFonts w:ascii="Arial" w:hAnsi="Arial" w:cs="Arial"/>
                <w:b/>
                <w:color w:val="000000" w:themeColor="text1"/>
                <w:spacing w:val="-1"/>
                <w:w w:val="105"/>
                <w:sz w:val="16"/>
                <w:szCs w:val="16"/>
              </w:rPr>
              <w:t>and</w:t>
            </w:r>
            <w:r w:rsidRPr="00763D5F">
              <w:rPr>
                <w:rFonts w:ascii="Arial" w:hAnsi="Arial" w:cs="Arial"/>
                <w:b/>
                <w:color w:val="000000" w:themeColor="text1"/>
                <w:spacing w:val="24"/>
                <w:w w:val="104"/>
                <w:sz w:val="16"/>
                <w:szCs w:val="16"/>
              </w:rPr>
              <w:t xml:space="preserve"> </w:t>
            </w:r>
            <w:r w:rsidRPr="00763D5F">
              <w:rPr>
                <w:rFonts w:ascii="Arial" w:hAnsi="Arial" w:cs="Arial"/>
                <w:b/>
                <w:color w:val="000000" w:themeColor="text1"/>
                <w:spacing w:val="-1"/>
                <w:w w:val="105"/>
                <w:sz w:val="16"/>
                <w:szCs w:val="16"/>
              </w:rPr>
              <w:t>charges</w:t>
            </w:r>
            <w:r w:rsidRPr="00763D5F">
              <w:rPr>
                <w:rFonts w:ascii="Arial" w:hAnsi="Arial" w:cs="Arial"/>
                <w:b/>
                <w:color w:val="000000" w:themeColor="text1"/>
                <w:spacing w:val="-6"/>
                <w:w w:val="105"/>
                <w:sz w:val="16"/>
                <w:szCs w:val="16"/>
              </w:rPr>
              <w:t xml:space="preserve"> </w:t>
            </w:r>
            <w:r w:rsidRPr="00763D5F">
              <w:rPr>
                <w:rFonts w:ascii="Arial" w:hAnsi="Arial" w:cs="Arial"/>
                <w:b/>
                <w:color w:val="000000" w:themeColor="text1"/>
                <w:spacing w:val="-1"/>
                <w:w w:val="105"/>
                <w:sz w:val="16"/>
                <w:szCs w:val="16"/>
              </w:rPr>
              <w:t>are</w:t>
            </w:r>
            <w:r w:rsidRPr="00763D5F">
              <w:rPr>
                <w:rFonts w:ascii="Arial" w:hAnsi="Arial" w:cs="Arial"/>
                <w:b/>
                <w:color w:val="000000" w:themeColor="text1"/>
                <w:spacing w:val="25"/>
                <w:w w:val="104"/>
                <w:sz w:val="16"/>
                <w:szCs w:val="16"/>
              </w:rPr>
              <w:t xml:space="preserve"> </w:t>
            </w:r>
            <w:r w:rsidRPr="00763D5F">
              <w:rPr>
                <w:rFonts w:ascii="Arial" w:hAnsi="Arial" w:cs="Arial"/>
                <w:b/>
                <w:color w:val="000000" w:themeColor="text1"/>
                <w:spacing w:val="-1"/>
                <w:w w:val="105"/>
                <w:sz w:val="16"/>
                <w:szCs w:val="16"/>
              </w:rPr>
              <w:t>taken</w:t>
            </w:r>
          </w:p>
        </w:tc>
      </w:tr>
      <w:tr w:rsidR="001427F1" w:rsidRPr="001427F1" w14:paraId="69C3FD48" w14:textId="06ACDF87" w:rsidTr="00CF529B">
        <w:trPr>
          <w:trHeight w:hRule="exact" w:val="283"/>
        </w:trPr>
        <w:tc>
          <w:tcPr>
            <w:tcW w:w="607" w:type="dxa"/>
            <w:tcBorders>
              <w:top w:val="single" w:sz="8" w:space="0" w:color="000000"/>
              <w:left w:val="single" w:sz="8" w:space="0" w:color="000000"/>
              <w:right w:val="single" w:sz="8" w:space="0" w:color="000000"/>
            </w:tcBorders>
          </w:tcPr>
          <w:p w14:paraId="636EA4C4" w14:textId="77777777" w:rsidR="00CF529B" w:rsidRPr="008028C0" w:rsidRDefault="00CF529B" w:rsidP="00490244">
            <w:pPr>
              <w:pStyle w:val="TableParagraph"/>
              <w:spacing w:before="60" w:after="60"/>
              <w:ind w:left="5"/>
              <w:jc w:val="center"/>
              <w:rPr>
                <w:rFonts w:ascii="Arial" w:hAnsi="Arial" w:cs="Arial"/>
                <w:b/>
                <w:w w:val="105"/>
                <w:sz w:val="16"/>
                <w:szCs w:val="16"/>
              </w:rPr>
            </w:pPr>
            <w:r w:rsidRPr="008028C0">
              <w:rPr>
                <w:rFonts w:ascii="Arial" w:hAnsi="Arial" w:cs="Arial"/>
                <w:b/>
                <w:w w:val="105"/>
                <w:sz w:val="16"/>
                <w:szCs w:val="16"/>
              </w:rPr>
              <w:t>0</w:t>
            </w:r>
          </w:p>
        </w:tc>
        <w:tc>
          <w:tcPr>
            <w:tcW w:w="1134" w:type="dxa"/>
            <w:tcBorders>
              <w:top w:val="single" w:sz="8" w:space="0" w:color="000000"/>
              <w:left w:val="single" w:sz="8" w:space="0" w:color="000000"/>
              <w:right w:val="single" w:sz="8" w:space="0" w:color="000000"/>
            </w:tcBorders>
          </w:tcPr>
          <w:p w14:paraId="26B3D06A" w14:textId="2582CA58" w:rsidR="00CF529B" w:rsidRPr="008028C0" w:rsidRDefault="00685D61" w:rsidP="00490244">
            <w:pPr>
              <w:pStyle w:val="TableParagraph"/>
              <w:spacing w:before="60" w:after="60"/>
              <w:jc w:val="center"/>
              <w:rPr>
                <w:rFonts w:ascii="Arial" w:eastAsia="Source Sans Pro" w:hAnsi="Arial" w:cs="Arial"/>
                <w:sz w:val="16"/>
                <w:szCs w:val="16"/>
              </w:rPr>
            </w:pPr>
            <w:r w:rsidRPr="008028C0">
              <w:rPr>
                <w:rFonts w:ascii="Arial" w:eastAsia="Source Sans Pro" w:hAnsi="Arial" w:cs="Arial"/>
                <w:sz w:val="16"/>
                <w:szCs w:val="16"/>
              </w:rPr>
              <w:t>£</w:t>
            </w:r>
            <w:r w:rsidR="00BC67E0" w:rsidRPr="008028C0">
              <w:rPr>
                <w:rFonts w:ascii="Arial" w:eastAsia="Source Sans Pro" w:hAnsi="Arial" w:cs="Arial"/>
                <w:sz w:val="16"/>
                <w:szCs w:val="16"/>
              </w:rPr>
              <w:t>35,000</w:t>
            </w:r>
          </w:p>
        </w:tc>
        <w:tc>
          <w:tcPr>
            <w:tcW w:w="1134" w:type="dxa"/>
            <w:tcBorders>
              <w:top w:val="single" w:sz="8" w:space="0" w:color="000000"/>
              <w:left w:val="single" w:sz="8" w:space="0" w:color="000000"/>
              <w:right w:val="single" w:sz="8" w:space="0" w:color="000000"/>
            </w:tcBorders>
          </w:tcPr>
          <w:p w14:paraId="5B4F4AD9" w14:textId="03BDD6B2" w:rsidR="00CF529B" w:rsidRPr="008028C0" w:rsidRDefault="00685D61" w:rsidP="00490244">
            <w:pPr>
              <w:pStyle w:val="TableParagraph"/>
              <w:spacing w:before="60" w:after="60"/>
              <w:jc w:val="center"/>
              <w:rPr>
                <w:rFonts w:ascii="Arial" w:eastAsia="Source Sans Pro" w:hAnsi="Arial" w:cs="Arial"/>
                <w:sz w:val="16"/>
                <w:szCs w:val="16"/>
              </w:rPr>
            </w:pPr>
            <w:r w:rsidRPr="008028C0">
              <w:rPr>
                <w:rFonts w:ascii="Arial" w:eastAsia="Source Sans Pro" w:hAnsi="Arial" w:cs="Arial"/>
                <w:sz w:val="16"/>
                <w:szCs w:val="16"/>
              </w:rPr>
              <w:t>£</w:t>
            </w:r>
            <w:r w:rsidR="00BC67E0" w:rsidRPr="008028C0">
              <w:rPr>
                <w:rFonts w:ascii="Arial" w:eastAsia="Source Sans Pro" w:hAnsi="Arial" w:cs="Arial"/>
                <w:sz w:val="16"/>
                <w:szCs w:val="16"/>
              </w:rPr>
              <w:t>35,000</w:t>
            </w:r>
          </w:p>
        </w:tc>
        <w:tc>
          <w:tcPr>
            <w:tcW w:w="1276" w:type="dxa"/>
            <w:tcBorders>
              <w:top w:val="single" w:sz="8" w:space="0" w:color="000000"/>
              <w:left w:val="single" w:sz="8" w:space="0" w:color="000000"/>
              <w:right w:val="single" w:sz="8" w:space="0" w:color="000000"/>
            </w:tcBorders>
          </w:tcPr>
          <w:p w14:paraId="0BF74698" w14:textId="03C17EB4" w:rsidR="00CF529B" w:rsidRPr="008028C0" w:rsidRDefault="00685D61" w:rsidP="00490244">
            <w:pPr>
              <w:pStyle w:val="TableParagraph"/>
              <w:spacing w:before="60" w:after="60"/>
              <w:jc w:val="center"/>
              <w:rPr>
                <w:rFonts w:ascii="Arial" w:eastAsia="Source Sans Pro" w:hAnsi="Arial" w:cs="Arial"/>
                <w:sz w:val="16"/>
                <w:szCs w:val="16"/>
              </w:rPr>
            </w:pPr>
            <w:r w:rsidRPr="008028C0">
              <w:rPr>
                <w:rFonts w:ascii="Arial" w:eastAsia="Source Sans Pro" w:hAnsi="Arial" w:cs="Arial"/>
                <w:sz w:val="16"/>
                <w:szCs w:val="16"/>
              </w:rPr>
              <w:t>£</w:t>
            </w:r>
            <w:r w:rsidR="00BC67E0" w:rsidRPr="008028C0">
              <w:rPr>
                <w:rFonts w:ascii="Arial" w:eastAsia="Source Sans Pro" w:hAnsi="Arial" w:cs="Arial"/>
                <w:sz w:val="16"/>
                <w:szCs w:val="16"/>
              </w:rPr>
              <w:t>35,000</w:t>
            </w:r>
          </w:p>
        </w:tc>
        <w:tc>
          <w:tcPr>
            <w:tcW w:w="1134" w:type="dxa"/>
            <w:tcBorders>
              <w:top w:val="single" w:sz="8" w:space="0" w:color="000000"/>
              <w:left w:val="single" w:sz="8" w:space="0" w:color="000000"/>
              <w:right w:val="single" w:sz="8" w:space="0" w:color="000000"/>
            </w:tcBorders>
          </w:tcPr>
          <w:p w14:paraId="285BEDF1" w14:textId="4C26FFFB" w:rsidR="00CF529B" w:rsidRPr="008028C0" w:rsidRDefault="00685D61" w:rsidP="00490244">
            <w:pPr>
              <w:pStyle w:val="TableParagraph"/>
              <w:spacing w:before="60" w:after="60"/>
              <w:jc w:val="center"/>
              <w:rPr>
                <w:rFonts w:ascii="Arial" w:eastAsia="Source Sans Pro" w:hAnsi="Arial" w:cs="Arial"/>
                <w:sz w:val="16"/>
                <w:szCs w:val="16"/>
              </w:rPr>
            </w:pPr>
            <w:r w:rsidRPr="008028C0">
              <w:rPr>
                <w:rFonts w:ascii="Arial" w:eastAsia="Source Sans Pro" w:hAnsi="Arial" w:cs="Arial"/>
                <w:sz w:val="16"/>
                <w:szCs w:val="16"/>
              </w:rPr>
              <w:t>£</w:t>
            </w:r>
            <w:r w:rsidR="00BC67E0" w:rsidRPr="008028C0">
              <w:rPr>
                <w:rFonts w:ascii="Arial" w:eastAsia="Source Sans Pro" w:hAnsi="Arial" w:cs="Arial"/>
                <w:sz w:val="16"/>
                <w:szCs w:val="16"/>
              </w:rPr>
              <w:t>35,000</w:t>
            </w:r>
          </w:p>
        </w:tc>
        <w:tc>
          <w:tcPr>
            <w:tcW w:w="1134" w:type="dxa"/>
            <w:tcBorders>
              <w:top w:val="single" w:sz="8" w:space="0" w:color="000000"/>
              <w:left w:val="single" w:sz="8" w:space="0" w:color="000000"/>
              <w:right w:val="single" w:sz="8" w:space="0" w:color="000000"/>
            </w:tcBorders>
          </w:tcPr>
          <w:p w14:paraId="39691F94" w14:textId="46A046C5" w:rsidR="00CF529B" w:rsidRPr="008028C0" w:rsidRDefault="00685D61" w:rsidP="00490244">
            <w:pPr>
              <w:pStyle w:val="TableParagraph"/>
              <w:spacing w:before="60" w:after="60"/>
              <w:jc w:val="center"/>
              <w:rPr>
                <w:rFonts w:ascii="Arial" w:eastAsia="Source Sans Pro" w:hAnsi="Arial" w:cs="Arial"/>
                <w:sz w:val="16"/>
                <w:szCs w:val="16"/>
              </w:rPr>
            </w:pPr>
            <w:r w:rsidRPr="008028C0">
              <w:rPr>
                <w:rFonts w:ascii="Arial" w:eastAsia="Source Sans Pro" w:hAnsi="Arial" w:cs="Arial"/>
                <w:sz w:val="16"/>
                <w:szCs w:val="16"/>
              </w:rPr>
              <w:t>£</w:t>
            </w:r>
            <w:r w:rsidR="00BC67E0" w:rsidRPr="008028C0">
              <w:rPr>
                <w:rFonts w:ascii="Arial" w:eastAsia="Source Sans Pro" w:hAnsi="Arial" w:cs="Arial"/>
                <w:sz w:val="16"/>
                <w:szCs w:val="16"/>
              </w:rPr>
              <w:t>35,000</w:t>
            </w:r>
          </w:p>
        </w:tc>
        <w:tc>
          <w:tcPr>
            <w:tcW w:w="1134" w:type="dxa"/>
            <w:tcBorders>
              <w:top w:val="single" w:sz="8" w:space="0" w:color="000000"/>
              <w:left w:val="single" w:sz="8" w:space="0" w:color="000000"/>
              <w:right w:val="single" w:sz="8" w:space="0" w:color="000000"/>
            </w:tcBorders>
          </w:tcPr>
          <w:p w14:paraId="16C5C876" w14:textId="3F8E08A0" w:rsidR="00CF529B" w:rsidRPr="008028C0" w:rsidRDefault="00397658" w:rsidP="00490244">
            <w:pPr>
              <w:pStyle w:val="TableParagraph"/>
              <w:spacing w:before="60" w:after="60"/>
              <w:jc w:val="center"/>
              <w:rPr>
                <w:rFonts w:ascii="Arial" w:eastAsia="Source Sans Pro" w:hAnsi="Arial" w:cs="Arial"/>
                <w:sz w:val="16"/>
                <w:szCs w:val="16"/>
              </w:rPr>
            </w:pPr>
            <w:r w:rsidRPr="008028C0">
              <w:rPr>
                <w:rFonts w:ascii="Arial" w:eastAsia="Source Sans Pro" w:hAnsi="Arial" w:cs="Arial"/>
                <w:sz w:val="16"/>
                <w:szCs w:val="16"/>
              </w:rPr>
              <w:t>£</w:t>
            </w:r>
            <w:r w:rsidR="00BC67E0" w:rsidRPr="008028C0">
              <w:rPr>
                <w:rFonts w:ascii="Arial" w:eastAsia="Source Sans Pro" w:hAnsi="Arial" w:cs="Arial"/>
                <w:sz w:val="16"/>
                <w:szCs w:val="16"/>
              </w:rPr>
              <w:t>35,000</w:t>
            </w:r>
          </w:p>
        </w:tc>
        <w:tc>
          <w:tcPr>
            <w:tcW w:w="1134" w:type="dxa"/>
            <w:tcBorders>
              <w:top w:val="single" w:sz="8" w:space="0" w:color="000000"/>
              <w:left w:val="single" w:sz="8" w:space="0" w:color="000000"/>
              <w:right w:val="single" w:sz="8" w:space="0" w:color="000000"/>
            </w:tcBorders>
          </w:tcPr>
          <w:p w14:paraId="3F72F9EA" w14:textId="4FDBF627" w:rsidR="00CF529B" w:rsidRPr="008028C0" w:rsidRDefault="00397658" w:rsidP="00490244">
            <w:pPr>
              <w:pStyle w:val="TableParagraph"/>
              <w:spacing w:before="60" w:after="60"/>
              <w:jc w:val="center"/>
              <w:rPr>
                <w:rFonts w:ascii="Arial" w:eastAsia="Source Sans Pro" w:hAnsi="Arial" w:cs="Arial"/>
                <w:sz w:val="16"/>
                <w:szCs w:val="16"/>
              </w:rPr>
            </w:pPr>
            <w:r w:rsidRPr="008028C0">
              <w:rPr>
                <w:rFonts w:ascii="Arial" w:eastAsia="Source Sans Pro" w:hAnsi="Arial" w:cs="Arial"/>
                <w:sz w:val="16"/>
                <w:szCs w:val="16"/>
              </w:rPr>
              <w:t>£</w:t>
            </w:r>
            <w:r w:rsidR="00BC67E0" w:rsidRPr="008028C0">
              <w:rPr>
                <w:rFonts w:ascii="Arial" w:eastAsia="Source Sans Pro" w:hAnsi="Arial" w:cs="Arial"/>
                <w:sz w:val="16"/>
                <w:szCs w:val="16"/>
              </w:rPr>
              <w:t>35,000</w:t>
            </w:r>
          </w:p>
        </w:tc>
        <w:tc>
          <w:tcPr>
            <w:tcW w:w="1276" w:type="dxa"/>
            <w:tcBorders>
              <w:top w:val="single" w:sz="8" w:space="0" w:color="000000"/>
              <w:left w:val="single" w:sz="8" w:space="0" w:color="000000"/>
              <w:right w:val="single" w:sz="8" w:space="0" w:color="000000"/>
            </w:tcBorders>
          </w:tcPr>
          <w:p w14:paraId="3107F125" w14:textId="6AC649F8" w:rsidR="00CF529B" w:rsidRPr="008028C0" w:rsidRDefault="00397658" w:rsidP="00490244">
            <w:pPr>
              <w:pStyle w:val="TableParagraph"/>
              <w:spacing w:before="60" w:after="60"/>
              <w:jc w:val="center"/>
              <w:rPr>
                <w:rFonts w:ascii="Arial" w:eastAsia="Source Sans Pro" w:hAnsi="Arial" w:cs="Arial"/>
                <w:sz w:val="16"/>
                <w:szCs w:val="16"/>
              </w:rPr>
            </w:pPr>
            <w:r w:rsidRPr="008028C0">
              <w:rPr>
                <w:rFonts w:ascii="Arial" w:eastAsia="Source Sans Pro" w:hAnsi="Arial" w:cs="Arial"/>
                <w:sz w:val="16"/>
                <w:szCs w:val="16"/>
              </w:rPr>
              <w:t>£</w:t>
            </w:r>
            <w:r w:rsidR="00BC67E0" w:rsidRPr="008028C0">
              <w:rPr>
                <w:rFonts w:ascii="Arial" w:eastAsia="Source Sans Pro" w:hAnsi="Arial" w:cs="Arial"/>
                <w:sz w:val="16"/>
                <w:szCs w:val="16"/>
              </w:rPr>
              <w:t>35,000</w:t>
            </w:r>
          </w:p>
        </w:tc>
      </w:tr>
      <w:tr w:rsidR="001427F1" w:rsidRPr="001427F1" w14:paraId="55DBC463" w14:textId="18BAEDA3" w:rsidTr="00090281">
        <w:trPr>
          <w:trHeight w:hRule="exact" w:val="283"/>
        </w:trPr>
        <w:tc>
          <w:tcPr>
            <w:tcW w:w="607" w:type="dxa"/>
            <w:tcBorders>
              <w:left w:val="single" w:sz="8" w:space="0" w:color="000000"/>
              <w:bottom w:val="nil"/>
              <w:right w:val="single" w:sz="8" w:space="0" w:color="000000"/>
            </w:tcBorders>
          </w:tcPr>
          <w:p w14:paraId="1ED89EFB" w14:textId="77777777" w:rsidR="004160DC" w:rsidRPr="00763D5F" w:rsidRDefault="004160DC" w:rsidP="004160DC">
            <w:pPr>
              <w:pStyle w:val="TableParagraph"/>
              <w:spacing w:before="60" w:after="60"/>
              <w:ind w:left="5"/>
              <w:jc w:val="center"/>
              <w:rPr>
                <w:rFonts w:ascii="Arial" w:eastAsia="Source Sans Pro" w:hAnsi="Arial" w:cs="Arial"/>
                <w:color w:val="000000" w:themeColor="text1"/>
                <w:sz w:val="16"/>
                <w:szCs w:val="16"/>
              </w:rPr>
            </w:pPr>
            <w:r w:rsidRPr="00763D5F">
              <w:rPr>
                <w:rFonts w:ascii="Arial" w:hAnsi="Arial" w:cs="Arial"/>
                <w:b/>
                <w:color w:val="000000" w:themeColor="text1"/>
                <w:w w:val="105"/>
                <w:sz w:val="16"/>
                <w:szCs w:val="16"/>
              </w:rPr>
              <w:t>1</w:t>
            </w:r>
          </w:p>
        </w:tc>
        <w:tc>
          <w:tcPr>
            <w:tcW w:w="1134" w:type="dxa"/>
            <w:tcBorders>
              <w:left w:val="single" w:sz="8" w:space="0" w:color="000000"/>
              <w:bottom w:val="nil"/>
              <w:right w:val="single" w:sz="8" w:space="0" w:color="000000"/>
            </w:tcBorders>
            <w:vAlign w:val="bottom"/>
          </w:tcPr>
          <w:p w14:paraId="7757C544" w14:textId="28FB0B69" w:rsidR="004160DC" w:rsidRPr="00763D5F" w:rsidRDefault="004160DC" w:rsidP="004160DC">
            <w:pPr>
              <w:pStyle w:val="TableParagraph"/>
              <w:spacing w:before="60" w:after="60"/>
              <w:jc w:val="center"/>
              <w:rPr>
                <w:rFonts w:ascii="Arial" w:eastAsia="Source Sans Pro" w:hAnsi="Arial" w:cs="Arial"/>
                <w:color w:val="000000" w:themeColor="text1"/>
                <w:sz w:val="16"/>
                <w:szCs w:val="16"/>
              </w:rPr>
            </w:pPr>
            <w:r w:rsidRPr="00763D5F">
              <w:rPr>
                <w:rFonts w:ascii="Arial" w:hAnsi="Arial" w:cs="Arial"/>
                <w:color w:val="000000" w:themeColor="text1"/>
                <w:sz w:val="16"/>
                <w:szCs w:val="16"/>
                <w:lang w:val="en-GB" w:eastAsia="en-GB"/>
              </w:rPr>
              <w:t>£</w:t>
            </w:r>
            <w:r w:rsidR="00BC67E0" w:rsidRPr="00763D5F">
              <w:rPr>
                <w:rFonts w:ascii="Arial" w:hAnsi="Arial" w:cs="Arial"/>
                <w:color w:val="000000" w:themeColor="text1"/>
                <w:sz w:val="16"/>
                <w:szCs w:val="16"/>
                <w:lang w:val="en-GB" w:eastAsia="en-GB"/>
              </w:rPr>
              <w:t>36,540</w:t>
            </w:r>
          </w:p>
        </w:tc>
        <w:tc>
          <w:tcPr>
            <w:tcW w:w="1134" w:type="dxa"/>
            <w:tcBorders>
              <w:left w:val="single" w:sz="8" w:space="0" w:color="000000"/>
              <w:bottom w:val="nil"/>
              <w:right w:val="single" w:sz="8" w:space="0" w:color="000000"/>
            </w:tcBorders>
            <w:vAlign w:val="bottom"/>
          </w:tcPr>
          <w:p w14:paraId="7D37C9D8" w14:textId="41783D62" w:rsidR="004160DC" w:rsidRPr="001427F1" w:rsidRDefault="004160DC" w:rsidP="004160DC">
            <w:pPr>
              <w:pStyle w:val="TableParagraph"/>
              <w:spacing w:before="60" w:after="60"/>
              <w:jc w:val="center"/>
              <w:rPr>
                <w:rFonts w:ascii="Arial" w:eastAsia="Source Sans Pro" w:hAnsi="Arial" w:cs="Arial"/>
                <w:color w:val="FF0000"/>
                <w:sz w:val="16"/>
                <w:szCs w:val="16"/>
              </w:rPr>
            </w:pPr>
            <w:r w:rsidRPr="00763D5F">
              <w:rPr>
                <w:rFonts w:ascii="Arial" w:hAnsi="Arial" w:cs="Arial"/>
                <w:color w:val="000000" w:themeColor="text1"/>
                <w:sz w:val="16"/>
                <w:szCs w:val="16"/>
                <w:lang w:val="en-GB" w:eastAsia="en-GB"/>
              </w:rPr>
              <w:t>£</w:t>
            </w:r>
            <w:r w:rsidR="00BC67E0" w:rsidRPr="00763D5F">
              <w:rPr>
                <w:rFonts w:ascii="Arial" w:hAnsi="Arial" w:cs="Arial"/>
                <w:color w:val="000000" w:themeColor="text1"/>
                <w:sz w:val="16"/>
                <w:szCs w:val="16"/>
                <w:lang w:val="en-GB" w:eastAsia="en-GB"/>
              </w:rPr>
              <w:t>36,4</w:t>
            </w:r>
            <w:r w:rsidR="00763D5F" w:rsidRPr="00763D5F">
              <w:rPr>
                <w:rFonts w:ascii="Arial" w:hAnsi="Arial" w:cs="Arial"/>
                <w:color w:val="000000" w:themeColor="text1"/>
                <w:sz w:val="16"/>
                <w:szCs w:val="16"/>
                <w:lang w:val="en-GB" w:eastAsia="en-GB"/>
              </w:rPr>
              <w:t>10</w:t>
            </w:r>
          </w:p>
        </w:tc>
        <w:tc>
          <w:tcPr>
            <w:tcW w:w="1276" w:type="dxa"/>
            <w:tcBorders>
              <w:left w:val="single" w:sz="8" w:space="0" w:color="000000"/>
              <w:bottom w:val="nil"/>
              <w:right w:val="single" w:sz="8" w:space="0" w:color="000000"/>
            </w:tcBorders>
            <w:vAlign w:val="bottom"/>
          </w:tcPr>
          <w:p w14:paraId="60476551" w14:textId="04909971" w:rsidR="004160DC" w:rsidRPr="00305EA3" w:rsidRDefault="004160DC" w:rsidP="004160DC">
            <w:pPr>
              <w:pStyle w:val="TableParagraph"/>
              <w:spacing w:before="60" w:after="60"/>
              <w:jc w:val="center"/>
              <w:rPr>
                <w:rFonts w:ascii="Arial" w:eastAsia="Source Sans Pro" w:hAnsi="Arial" w:cs="Arial"/>
                <w:color w:val="000000" w:themeColor="text1"/>
                <w:sz w:val="16"/>
                <w:szCs w:val="16"/>
              </w:rPr>
            </w:pPr>
            <w:r w:rsidRPr="00305EA3">
              <w:rPr>
                <w:rFonts w:ascii="Arial" w:hAnsi="Arial" w:cs="Arial"/>
                <w:color w:val="000000" w:themeColor="text1"/>
                <w:sz w:val="16"/>
                <w:szCs w:val="16"/>
                <w:lang w:val="en-GB" w:eastAsia="en-GB"/>
              </w:rPr>
              <w:t>£</w:t>
            </w:r>
            <w:r w:rsidR="004E6C48" w:rsidRPr="00305EA3">
              <w:rPr>
                <w:rFonts w:ascii="Arial" w:hAnsi="Arial" w:cs="Arial"/>
                <w:color w:val="000000" w:themeColor="text1"/>
                <w:sz w:val="16"/>
                <w:szCs w:val="16"/>
                <w:lang w:val="en-GB" w:eastAsia="en-GB"/>
              </w:rPr>
              <w:t>35,</w:t>
            </w:r>
            <w:r w:rsidR="00305EA3" w:rsidRPr="00305EA3">
              <w:rPr>
                <w:rFonts w:ascii="Arial" w:hAnsi="Arial" w:cs="Arial"/>
                <w:color w:val="000000" w:themeColor="text1"/>
                <w:sz w:val="16"/>
                <w:szCs w:val="16"/>
                <w:lang w:val="en-GB" w:eastAsia="en-GB"/>
              </w:rPr>
              <w:t>510</w:t>
            </w:r>
          </w:p>
        </w:tc>
        <w:tc>
          <w:tcPr>
            <w:tcW w:w="1134" w:type="dxa"/>
            <w:tcBorders>
              <w:left w:val="single" w:sz="8" w:space="0" w:color="000000"/>
              <w:bottom w:val="nil"/>
              <w:right w:val="single" w:sz="8" w:space="0" w:color="000000"/>
            </w:tcBorders>
            <w:vAlign w:val="bottom"/>
          </w:tcPr>
          <w:p w14:paraId="2E06CC63" w14:textId="14E49F27" w:rsidR="004160DC" w:rsidRPr="00305EA3" w:rsidRDefault="004160DC" w:rsidP="004160DC">
            <w:pPr>
              <w:pStyle w:val="TableParagraph"/>
              <w:spacing w:before="60" w:after="60"/>
              <w:jc w:val="center"/>
              <w:rPr>
                <w:rFonts w:ascii="Arial" w:eastAsia="Source Sans Pro" w:hAnsi="Arial" w:cs="Arial"/>
                <w:color w:val="000000" w:themeColor="text1"/>
                <w:sz w:val="16"/>
                <w:szCs w:val="16"/>
              </w:rPr>
            </w:pPr>
            <w:r w:rsidRPr="00305EA3">
              <w:rPr>
                <w:rFonts w:ascii="Arial" w:hAnsi="Arial" w:cs="Arial"/>
                <w:color w:val="000000" w:themeColor="text1"/>
                <w:sz w:val="16"/>
                <w:szCs w:val="16"/>
                <w:lang w:val="en-GB" w:eastAsia="en-GB"/>
              </w:rPr>
              <w:t>£</w:t>
            </w:r>
            <w:r w:rsidR="008E1BD6" w:rsidRPr="00305EA3">
              <w:rPr>
                <w:rFonts w:ascii="Arial" w:hAnsi="Arial" w:cs="Arial"/>
                <w:color w:val="000000" w:themeColor="text1"/>
                <w:sz w:val="16"/>
                <w:szCs w:val="16"/>
                <w:lang w:val="en-GB" w:eastAsia="en-GB"/>
              </w:rPr>
              <w:t>35,</w:t>
            </w:r>
            <w:r w:rsidR="00305EA3" w:rsidRPr="00305EA3">
              <w:rPr>
                <w:rFonts w:ascii="Arial" w:hAnsi="Arial" w:cs="Arial"/>
                <w:color w:val="000000" w:themeColor="text1"/>
                <w:sz w:val="16"/>
                <w:szCs w:val="16"/>
                <w:lang w:val="en-GB" w:eastAsia="en-GB"/>
              </w:rPr>
              <w:t>380</w:t>
            </w:r>
          </w:p>
        </w:tc>
        <w:tc>
          <w:tcPr>
            <w:tcW w:w="1134" w:type="dxa"/>
            <w:tcBorders>
              <w:left w:val="single" w:sz="8" w:space="0" w:color="000000"/>
              <w:bottom w:val="nil"/>
              <w:right w:val="single" w:sz="8" w:space="0" w:color="000000"/>
            </w:tcBorders>
            <w:vAlign w:val="bottom"/>
          </w:tcPr>
          <w:p w14:paraId="76B9377E" w14:textId="3D71E503" w:rsidR="004160DC" w:rsidRPr="000149C4" w:rsidRDefault="004160DC" w:rsidP="004160DC">
            <w:pPr>
              <w:pStyle w:val="TableParagraph"/>
              <w:spacing w:before="60" w:after="60"/>
              <w:jc w:val="center"/>
              <w:rPr>
                <w:rFonts w:ascii="Arial" w:eastAsia="Source Sans Pro" w:hAnsi="Arial" w:cs="Arial"/>
                <w:color w:val="000000" w:themeColor="text1"/>
                <w:sz w:val="16"/>
                <w:szCs w:val="16"/>
              </w:rPr>
            </w:pPr>
            <w:r w:rsidRPr="000149C4">
              <w:rPr>
                <w:rFonts w:ascii="Arial" w:hAnsi="Arial" w:cs="Arial"/>
                <w:color w:val="000000" w:themeColor="text1"/>
                <w:sz w:val="16"/>
                <w:szCs w:val="16"/>
                <w:lang w:val="en-GB" w:eastAsia="en-GB"/>
              </w:rPr>
              <w:t>£</w:t>
            </w:r>
            <w:r w:rsidR="008E1BD6" w:rsidRPr="000149C4">
              <w:rPr>
                <w:rFonts w:ascii="Arial" w:hAnsi="Arial" w:cs="Arial"/>
                <w:color w:val="000000" w:themeColor="text1"/>
                <w:sz w:val="16"/>
                <w:szCs w:val="16"/>
                <w:lang w:val="en-GB" w:eastAsia="en-GB"/>
              </w:rPr>
              <w:t>36,540</w:t>
            </w:r>
          </w:p>
        </w:tc>
        <w:tc>
          <w:tcPr>
            <w:tcW w:w="1134" w:type="dxa"/>
            <w:tcBorders>
              <w:left w:val="single" w:sz="8" w:space="0" w:color="000000"/>
              <w:bottom w:val="nil"/>
              <w:right w:val="single" w:sz="8" w:space="0" w:color="000000"/>
            </w:tcBorders>
            <w:vAlign w:val="bottom"/>
          </w:tcPr>
          <w:p w14:paraId="18B54035" w14:textId="0E07D8DE" w:rsidR="004160DC" w:rsidRPr="000149C4" w:rsidRDefault="004160DC" w:rsidP="004160DC">
            <w:pPr>
              <w:pStyle w:val="TableParagraph"/>
              <w:spacing w:before="60" w:after="60"/>
              <w:jc w:val="center"/>
              <w:rPr>
                <w:rFonts w:ascii="Arial" w:eastAsia="Source Sans Pro" w:hAnsi="Arial" w:cs="Arial"/>
                <w:color w:val="000000" w:themeColor="text1"/>
                <w:sz w:val="16"/>
                <w:szCs w:val="16"/>
              </w:rPr>
            </w:pPr>
            <w:r w:rsidRPr="000149C4">
              <w:rPr>
                <w:rFonts w:ascii="Arial" w:hAnsi="Arial" w:cs="Arial"/>
                <w:color w:val="000000" w:themeColor="text1"/>
                <w:sz w:val="16"/>
                <w:szCs w:val="16"/>
                <w:lang w:val="en-GB" w:eastAsia="en-GB"/>
              </w:rPr>
              <w:t>£</w:t>
            </w:r>
            <w:r w:rsidR="000A711F" w:rsidRPr="000149C4">
              <w:rPr>
                <w:rFonts w:ascii="Arial" w:hAnsi="Arial" w:cs="Arial"/>
                <w:color w:val="000000" w:themeColor="text1"/>
                <w:sz w:val="16"/>
                <w:szCs w:val="16"/>
                <w:lang w:val="en-GB" w:eastAsia="en-GB"/>
              </w:rPr>
              <w:t>36,4</w:t>
            </w:r>
            <w:r w:rsidR="000149C4" w:rsidRPr="000149C4">
              <w:rPr>
                <w:rFonts w:ascii="Arial" w:hAnsi="Arial" w:cs="Arial"/>
                <w:color w:val="000000" w:themeColor="text1"/>
                <w:sz w:val="16"/>
                <w:szCs w:val="16"/>
                <w:lang w:val="en-GB" w:eastAsia="en-GB"/>
              </w:rPr>
              <w:t>2</w:t>
            </w:r>
            <w:r w:rsidR="000A711F" w:rsidRPr="000149C4">
              <w:rPr>
                <w:rFonts w:ascii="Arial" w:hAnsi="Arial" w:cs="Arial"/>
                <w:color w:val="000000" w:themeColor="text1"/>
                <w:sz w:val="16"/>
                <w:szCs w:val="16"/>
                <w:lang w:val="en-GB" w:eastAsia="en-GB"/>
              </w:rPr>
              <w:t>0</w:t>
            </w:r>
          </w:p>
        </w:tc>
        <w:tc>
          <w:tcPr>
            <w:tcW w:w="1134" w:type="dxa"/>
            <w:tcBorders>
              <w:left w:val="single" w:sz="8" w:space="0" w:color="000000"/>
              <w:bottom w:val="nil"/>
              <w:right w:val="single" w:sz="8" w:space="0" w:color="000000"/>
            </w:tcBorders>
            <w:vAlign w:val="bottom"/>
          </w:tcPr>
          <w:p w14:paraId="1274791E" w14:textId="49EAE8F3" w:rsidR="004160DC" w:rsidRPr="000149C4" w:rsidRDefault="004160DC" w:rsidP="004160DC">
            <w:pPr>
              <w:pStyle w:val="TableParagraph"/>
              <w:spacing w:before="60" w:after="60"/>
              <w:jc w:val="center"/>
              <w:rPr>
                <w:rFonts w:ascii="Arial" w:eastAsia="Source Sans Pro" w:hAnsi="Arial" w:cs="Arial"/>
                <w:color w:val="000000" w:themeColor="text1"/>
                <w:sz w:val="16"/>
                <w:szCs w:val="16"/>
              </w:rPr>
            </w:pPr>
            <w:r w:rsidRPr="000149C4">
              <w:rPr>
                <w:rFonts w:ascii="Arial" w:hAnsi="Arial" w:cs="Arial"/>
                <w:color w:val="000000" w:themeColor="text1"/>
                <w:sz w:val="16"/>
                <w:szCs w:val="16"/>
                <w:lang w:val="en-GB" w:eastAsia="en-GB"/>
              </w:rPr>
              <w:t>£</w:t>
            </w:r>
            <w:r w:rsidR="001B7F38" w:rsidRPr="000149C4">
              <w:rPr>
                <w:rFonts w:ascii="Arial" w:hAnsi="Arial" w:cs="Arial"/>
                <w:color w:val="000000" w:themeColor="text1"/>
                <w:sz w:val="16"/>
                <w:szCs w:val="16"/>
                <w:lang w:val="en-GB" w:eastAsia="en-GB"/>
              </w:rPr>
              <w:t>34,</w:t>
            </w:r>
            <w:r w:rsidR="000149C4" w:rsidRPr="000149C4">
              <w:rPr>
                <w:rFonts w:ascii="Arial" w:hAnsi="Arial" w:cs="Arial"/>
                <w:color w:val="000000" w:themeColor="text1"/>
                <w:sz w:val="16"/>
                <w:szCs w:val="16"/>
                <w:lang w:val="en-GB" w:eastAsia="en-GB"/>
              </w:rPr>
              <w:t>830</w:t>
            </w:r>
          </w:p>
        </w:tc>
        <w:tc>
          <w:tcPr>
            <w:tcW w:w="1276" w:type="dxa"/>
            <w:tcBorders>
              <w:left w:val="single" w:sz="8" w:space="0" w:color="000000"/>
              <w:bottom w:val="nil"/>
              <w:right w:val="single" w:sz="8" w:space="0" w:color="000000"/>
            </w:tcBorders>
            <w:vAlign w:val="bottom"/>
          </w:tcPr>
          <w:p w14:paraId="563B4DD8" w14:textId="021321A3" w:rsidR="004160DC" w:rsidRPr="000149C4" w:rsidRDefault="004160DC" w:rsidP="004160DC">
            <w:pPr>
              <w:pStyle w:val="TableParagraph"/>
              <w:spacing w:before="60" w:after="60"/>
              <w:jc w:val="center"/>
              <w:rPr>
                <w:rFonts w:ascii="Arial" w:eastAsia="Source Sans Pro" w:hAnsi="Arial" w:cs="Arial"/>
                <w:color w:val="000000" w:themeColor="text1"/>
                <w:sz w:val="16"/>
                <w:szCs w:val="16"/>
              </w:rPr>
            </w:pPr>
            <w:r w:rsidRPr="000149C4">
              <w:rPr>
                <w:rFonts w:ascii="Arial" w:hAnsi="Arial" w:cs="Arial"/>
                <w:color w:val="000000" w:themeColor="text1"/>
                <w:sz w:val="16"/>
                <w:szCs w:val="16"/>
                <w:lang w:val="en-GB" w:eastAsia="en-GB"/>
              </w:rPr>
              <w:t>£</w:t>
            </w:r>
            <w:r w:rsidR="001B7F38" w:rsidRPr="000149C4">
              <w:rPr>
                <w:rFonts w:ascii="Arial" w:hAnsi="Arial" w:cs="Arial"/>
                <w:color w:val="000000" w:themeColor="text1"/>
                <w:sz w:val="16"/>
                <w:szCs w:val="16"/>
                <w:lang w:val="en-GB" w:eastAsia="en-GB"/>
              </w:rPr>
              <w:t>34,</w:t>
            </w:r>
            <w:r w:rsidR="000149C4" w:rsidRPr="000149C4">
              <w:rPr>
                <w:rFonts w:ascii="Arial" w:hAnsi="Arial" w:cs="Arial"/>
                <w:color w:val="000000" w:themeColor="text1"/>
                <w:sz w:val="16"/>
                <w:szCs w:val="16"/>
                <w:lang w:val="en-GB" w:eastAsia="en-GB"/>
              </w:rPr>
              <w:t>710</w:t>
            </w:r>
          </w:p>
        </w:tc>
      </w:tr>
      <w:tr w:rsidR="001427F1" w:rsidRPr="001427F1" w14:paraId="09C00A5F" w14:textId="3C264A2F" w:rsidTr="00090281">
        <w:trPr>
          <w:trHeight w:hRule="exact" w:val="281"/>
        </w:trPr>
        <w:tc>
          <w:tcPr>
            <w:tcW w:w="607" w:type="dxa"/>
            <w:tcBorders>
              <w:top w:val="nil"/>
              <w:left w:val="single" w:sz="8" w:space="0" w:color="000000"/>
              <w:bottom w:val="nil"/>
              <w:right w:val="single" w:sz="8" w:space="0" w:color="000000"/>
            </w:tcBorders>
          </w:tcPr>
          <w:p w14:paraId="6B09DC4F" w14:textId="77777777" w:rsidR="004160DC" w:rsidRPr="00763D5F" w:rsidRDefault="004160DC" w:rsidP="004160DC">
            <w:pPr>
              <w:pStyle w:val="TableParagraph"/>
              <w:spacing w:before="60" w:after="60"/>
              <w:ind w:left="5"/>
              <w:jc w:val="center"/>
              <w:rPr>
                <w:rFonts w:ascii="Arial" w:eastAsia="Source Sans Pro" w:hAnsi="Arial" w:cs="Arial"/>
                <w:color w:val="000000" w:themeColor="text1"/>
                <w:sz w:val="16"/>
                <w:szCs w:val="16"/>
              </w:rPr>
            </w:pPr>
            <w:r w:rsidRPr="00763D5F">
              <w:rPr>
                <w:rFonts w:ascii="Arial" w:hAnsi="Arial" w:cs="Arial"/>
                <w:b/>
                <w:color w:val="000000" w:themeColor="text1"/>
                <w:w w:val="105"/>
                <w:sz w:val="16"/>
                <w:szCs w:val="16"/>
              </w:rPr>
              <w:t>2</w:t>
            </w:r>
          </w:p>
        </w:tc>
        <w:tc>
          <w:tcPr>
            <w:tcW w:w="1134" w:type="dxa"/>
            <w:tcBorders>
              <w:top w:val="nil"/>
              <w:left w:val="single" w:sz="8" w:space="0" w:color="000000"/>
              <w:bottom w:val="nil"/>
              <w:right w:val="single" w:sz="8" w:space="0" w:color="000000"/>
            </w:tcBorders>
            <w:vAlign w:val="bottom"/>
          </w:tcPr>
          <w:p w14:paraId="7455B470" w14:textId="4CD4241E" w:rsidR="004160DC" w:rsidRPr="00763D5F" w:rsidRDefault="004160DC" w:rsidP="004160DC">
            <w:pPr>
              <w:pStyle w:val="TableParagraph"/>
              <w:spacing w:before="60" w:after="60"/>
              <w:jc w:val="center"/>
              <w:rPr>
                <w:rFonts w:ascii="Arial" w:eastAsia="Source Sans Pro" w:hAnsi="Arial" w:cs="Arial"/>
                <w:color w:val="000000" w:themeColor="text1"/>
                <w:sz w:val="16"/>
                <w:szCs w:val="16"/>
              </w:rPr>
            </w:pPr>
            <w:r w:rsidRPr="00763D5F">
              <w:rPr>
                <w:rFonts w:ascii="Arial" w:hAnsi="Arial" w:cs="Arial"/>
                <w:color w:val="000000" w:themeColor="text1"/>
                <w:sz w:val="16"/>
                <w:szCs w:val="16"/>
                <w:lang w:val="en-GB" w:eastAsia="en-GB"/>
              </w:rPr>
              <w:t>£</w:t>
            </w:r>
            <w:r w:rsidR="00BC67E0" w:rsidRPr="00763D5F">
              <w:rPr>
                <w:rFonts w:ascii="Arial" w:hAnsi="Arial" w:cs="Arial"/>
                <w:color w:val="000000" w:themeColor="text1"/>
                <w:sz w:val="16"/>
                <w:szCs w:val="16"/>
                <w:lang w:val="en-GB" w:eastAsia="en-GB"/>
              </w:rPr>
              <w:t>38,140</w:t>
            </w:r>
          </w:p>
        </w:tc>
        <w:tc>
          <w:tcPr>
            <w:tcW w:w="1134" w:type="dxa"/>
            <w:tcBorders>
              <w:top w:val="nil"/>
              <w:left w:val="single" w:sz="8" w:space="0" w:color="000000"/>
              <w:bottom w:val="nil"/>
              <w:right w:val="single" w:sz="8" w:space="0" w:color="000000"/>
            </w:tcBorders>
            <w:vAlign w:val="bottom"/>
          </w:tcPr>
          <w:p w14:paraId="16F822B4" w14:textId="3B07BDA9" w:rsidR="004160DC" w:rsidRPr="001427F1" w:rsidRDefault="004160DC" w:rsidP="004160DC">
            <w:pPr>
              <w:pStyle w:val="TableParagraph"/>
              <w:spacing w:before="60" w:after="60"/>
              <w:jc w:val="center"/>
              <w:rPr>
                <w:rFonts w:ascii="Arial" w:eastAsia="Source Sans Pro" w:hAnsi="Arial" w:cs="Arial"/>
                <w:color w:val="FF0000"/>
                <w:sz w:val="16"/>
                <w:szCs w:val="16"/>
              </w:rPr>
            </w:pPr>
            <w:r w:rsidRPr="00763D5F">
              <w:rPr>
                <w:rFonts w:ascii="Arial" w:hAnsi="Arial" w:cs="Arial"/>
                <w:color w:val="000000" w:themeColor="text1"/>
                <w:sz w:val="16"/>
                <w:szCs w:val="16"/>
                <w:lang w:val="en-GB" w:eastAsia="en-GB"/>
              </w:rPr>
              <w:t>£</w:t>
            </w:r>
            <w:r w:rsidR="00BC67E0" w:rsidRPr="00763D5F">
              <w:rPr>
                <w:rFonts w:ascii="Arial" w:hAnsi="Arial" w:cs="Arial"/>
                <w:color w:val="000000" w:themeColor="text1"/>
                <w:sz w:val="16"/>
                <w:szCs w:val="16"/>
                <w:lang w:val="en-GB" w:eastAsia="en-GB"/>
              </w:rPr>
              <w:t>37,8</w:t>
            </w:r>
            <w:r w:rsidR="00763D5F" w:rsidRPr="00763D5F">
              <w:rPr>
                <w:rFonts w:ascii="Arial" w:hAnsi="Arial" w:cs="Arial"/>
                <w:color w:val="000000" w:themeColor="text1"/>
                <w:sz w:val="16"/>
                <w:szCs w:val="16"/>
                <w:lang w:val="en-GB" w:eastAsia="en-GB"/>
              </w:rPr>
              <w:t>7</w:t>
            </w:r>
            <w:r w:rsidR="00BC67E0" w:rsidRPr="00763D5F">
              <w:rPr>
                <w:rFonts w:ascii="Arial" w:hAnsi="Arial" w:cs="Arial"/>
                <w:color w:val="000000" w:themeColor="text1"/>
                <w:sz w:val="16"/>
                <w:szCs w:val="16"/>
                <w:lang w:val="en-GB" w:eastAsia="en-GB"/>
              </w:rPr>
              <w:t>0</w:t>
            </w:r>
          </w:p>
        </w:tc>
        <w:tc>
          <w:tcPr>
            <w:tcW w:w="1276" w:type="dxa"/>
            <w:tcBorders>
              <w:top w:val="nil"/>
              <w:left w:val="single" w:sz="8" w:space="0" w:color="000000"/>
              <w:bottom w:val="nil"/>
              <w:right w:val="single" w:sz="8" w:space="0" w:color="000000"/>
            </w:tcBorders>
            <w:vAlign w:val="bottom"/>
          </w:tcPr>
          <w:p w14:paraId="48580A2A" w14:textId="4F86E655" w:rsidR="004160DC" w:rsidRPr="00305EA3" w:rsidRDefault="004160DC" w:rsidP="004160DC">
            <w:pPr>
              <w:pStyle w:val="TableParagraph"/>
              <w:spacing w:before="60" w:after="60"/>
              <w:jc w:val="center"/>
              <w:rPr>
                <w:rFonts w:ascii="Arial" w:eastAsia="Source Sans Pro" w:hAnsi="Arial" w:cs="Arial"/>
                <w:color w:val="000000" w:themeColor="text1"/>
                <w:sz w:val="16"/>
                <w:szCs w:val="16"/>
              </w:rPr>
            </w:pPr>
            <w:r w:rsidRPr="00305EA3">
              <w:rPr>
                <w:rFonts w:ascii="Arial" w:hAnsi="Arial" w:cs="Arial"/>
                <w:color w:val="000000" w:themeColor="text1"/>
                <w:sz w:val="16"/>
                <w:szCs w:val="16"/>
                <w:lang w:val="en-GB" w:eastAsia="en-GB"/>
              </w:rPr>
              <w:t>£</w:t>
            </w:r>
            <w:r w:rsidR="004E6C48" w:rsidRPr="00305EA3">
              <w:rPr>
                <w:rFonts w:ascii="Arial" w:hAnsi="Arial" w:cs="Arial"/>
                <w:color w:val="000000" w:themeColor="text1"/>
                <w:sz w:val="16"/>
                <w:szCs w:val="16"/>
                <w:lang w:val="en-GB" w:eastAsia="en-GB"/>
              </w:rPr>
              <w:t>3</w:t>
            </w:r>
            <w:r w:rsidR="00305EA3" w:rsidRPr="00305EA3">
              <w:rPr>
                <w:rFonts w:ascii="Arial" w:hAnsi="Arial" w:cs="Arial"/>
                <w:color w:val="000000" w:themeColor="text1"/>
                <w:sz w:val="16"/>
                <w:szCs w:val="16"/>
                <w:lang w:val="en-GB" w:eastAsia="en-GB"/>
              </w:rPr>
              <w:t>6</w:t>
            </w:r>
            <w:r w:rsidR="004E6C48" w:rsidRPr="00305EA3">
              <w:rPr>
                <w:rFonts w:ascii="Arial" w:hAnsi="Arial" w:cs="Arial"/>
                <w:color w:val="000000" w:themeColor="text1"/>
                <w:sz w:val="16"/>
                <w:szCs w:val="16"/>
                <w:lang w:val="en-GB" w:eastAsia="en-GB"/>
              </w:rPr>
              <w:t>,</w:t>
            </w:r>
            <w:r w:rsidR="00305EA3" w:rsidRPr="00305EA3">
              <w:rPr>
                <w:rFonts w:ascii="Arial" w:hAnsi="Arial" w:cs="Arial"/>
                <w:color w:val="000000" w:themeColor="text1"/>
                <w:sz w:val="16"/>
                <w:szCs w:val="16"/>
                <w:lang w:val="en-GB" w:eastAsia="en-GB"/>
              </w:rPr>
              <w:t>030</w:t>
            </w:r>
          </w:p>
        </w:tc>
        <w:tc>
          <w:tcPr>
            <w:tcW w:w="1134" w:type="dxa"/>
            <w:tcBorders>
              <w:top w:val="nil"/>
              <w:left w:val="single" w:sz="8" w:space="0" w:color="000000"/>
              <w:bottom w:val="nil"/>
              <w:right w:val="single" w:sz="8" w:space="0" w:color="000000"/>
            </w:tcBorders>
            <w:vAlign w:val="bottom"/>
          </w:tcPr>
          <w:p w14:paraId="748ABEA1" w14:textId="2CED4137" w:rsidR="004160DC" w:rsidRPr="00305EA3" w:rsidRDefault="004160DC" w:rsidP="004160DC">
            <w:pPr>
              <w:pStyle w:val="TableParagraph"/>
              <w:spacing w:before="60" w:after="60"/>
              <w:jc w:val="center"/>
              <w:rPr>
                <w:rFonts w:ascii="Arial" w:eastAsia="Source Sans Pro" w:hAnsi="Arial" w:cs="Arial"/>
                <w:color w:val="000000" w:themeColor="text1"/>
                <w:sz w:val="16"/>
                <w:szCs w:val="16"/>
              </w:rPr>
            </w:pPr>
            <w:r w:rsidRPr="00305EA3">
              <w:rPr>
                <w:rFonts w:ascii="Arial" w:hAnsi="Arial" w:cs="Arial"/>
                <w:color w:val="000000" w:themeColor="text1"/>
                <w:sz w:val="16"/>
                <w:szCs w:val="16"/>
                <w:lang w:val="en-GB" w:eastAsia="en-GB"/>
              </w:rPr>
              <w:t>£</w:t>
            </w:r>
            <w:r w:rsidR="008E1BD6" w:rsidRPr="00305EA3">
              <w:rPr>
                <w:rFonts w:ascii="Arial" w:hAnsi="Arial" w:cs="Arial"/>
                <w:color w:val="000000" w:themeColor="text1"/>
                <w:sz w:val="16"/>
                <w:szCs w:val="16"/>
                <w:lang w:val="en-GB" w:eastAsia="en-GB"/>
              </w:rPr>
              <w:t>35,</w:t>
            </w:r>
            <w:r w:rsidR="00305EA3" w:rsidRPr="00305EA3">
              <w:rPr>
                <w:rFonts w:ascii="Arial" w:hAnsi="Arial" w:cs="Arial"/>
                <w:color w:val="000000" w:themeColor="text1"/>
                <w:sz w:val="16"/>
                <w:szCs w:val="16"/>
                <w:lang w:val="en-GB" w:eastAsia="en-GB"/>
              </w:rPr>
              <w:t>760</w:t>
            </w:r>
          </w:p>
        </w:tc>
        <w:tc>
          <w:tcPr>
            <w:tcW w:w="1134" w:type="dxa"/>
            <w:tcBorders>
              <w:top w:val="nil"/>
              <w:left w:val="single" w:sz="8" w:space="0" w:color="000000"/>
              <w:bottom w:val="nil"/>
              <w:right w:val="single" w:sz="8" w:space="0" w:color="000000"/>
            </w:tcBorders>
            <w:vAlign w:val="bottom"/>
          </w:tcPr>
          <w:p w14:paraId="2C29378A" w14:textId="1E7D8ABE" w:rsidR="004160DC" w:rsidRPr="000149C4" w:rsidRDefault="004160DC" w:rsidP="004160DC">
            <w:pPr>
              <w:pStyle w:val="TableParagraph"/>
              <w:spacing w:before="60" w:after="60"/>
              <w:jc w:val="center"/>
              <w:rPr>
                <w:rFonts w:ascii="Arial" w:eastAsia="Source Sans Pro" w:hAnsi="Arial" w:cs="Arial"/>
                <w:color w:val="000000" w:themeColor="text1"/>
                <w:sz w:val="16"/>
                <w:szCs w:val="16"/>
              </w:rPr>
            </w:pPr>
            <w:r w:rsidRPr="000149C4">
              <w:rPr>
                <w:rFonts w:ascii="Arial" w:hAnsi="Arial" w:cs="Arial"/>
                <w:color w:val="000000" w:themeColor="text1"/>
                <w:sz w:val="16"/>
                <w:szCs w:val="16"/>
                <w:lang w:val="en-GB" w:eastAsia="en-GB"/>
              </w:rPr>
              <w:t>£</w:t>
            </w:r>
            <w:r w:rsidR="008E1BD6" w:rsidRPr="000149C4">
              <w:rPr>
                <w:rFonts w:ascii="Arial" w:hAnsi="Arial" w:cs="Arial"/>
                <w:color w:val="000000" w:themeColor="text1"/>
                <w:sz w:val="16"/>
                <w:szCs w:val="16"/>
                <w:lang w:val="en-GB" w:eastAsia="en-GB"/>
              </w:rPr>
              <w:t>38,140</w:t>
            </w:r>
          </w:p>
        </w:tc>
        <w:tc>
          <w:tcPr>
            <w:tcW w:w="1134" w:type="dxa"/>
            <w:tcBorders>
              <w:top w:val="nil"/>
              <w:left w:val="single" w:sz="8" w:space="0" w:color="000000"/>
              <w:bottom w:val="nil"/>
              <w:right w:val="single" w:sz="8" w:space="0" w:color="000000"/>
            </w:tcBorders>
            <w:vAlign w:val="bottom"/>
          </w:tcPr>
          <w:p w14:paraId="7BC006E0" w14:textId="434C77C6" w:rsidR="004160DC" w:rsidRPr="000149C4" w:rsidRDefault="004160DC" w:rsidP="004160DC">
            <w:pPr>
              <w:pStyle w:val="TableParagraph"/>
              <w:spacing w:before="60" w:after="60"/>
              <w:jc w:val="center"/>
              <w:rPr>
                <w:rFonts w:ascii="Arial" w:eastAsia="Source Sans Pro" w:hAnsi="Arial" w:cs="Arial"/>
                <w:color w:val="000000" w:themeColor="text1"/>
                <w:sz w:val="16"/>
                <w:szCs w:val="16"/>
              </w:rPr>
            </w:pPr>
            <w:r w:rsidRPr="000149C4">
              <w:rPr>
                <w:rFonts w:ascii="Arial" w:hAnsi="Arial" w:cs="Arial"/>
                <w:color w:val="000000" w:themeColor="text1"/>
                <w:sz w:val="16"/>
                <w:szCs w:val="16"/>
                <w:lang w:val="en-GB" w:eastAsia="en-GB"/>
              </w:rPr>
              <w:t>£</w:t>
            </w:r>
            <w:r w:rsidR="000A711F" w:rsidRPr="000149C4">
              <w:rPr>
                <w:rFonts w:ascii="Arial" w:hAnsi="Arial" w:cs="Arial"/>
                <w:color w:val="000000" w:themeColor="text1"/>
                <w:sz w:val="16"/>
                <w:szCs w:val="16"/>
                <w:lang w:val="en-GB" w:eastAsia="en-GB"/>
              </w:rPr>
              <w:t>37,8</w:t>
            </w:r>
            <w:r w:rsidR="000149C4" w:rsidRPr="000149C4">
              <w:rPr>
                <w:rFonts w:ascii="Arial" w:hAnsi="Arial" w:cs="Arial"/>
                <w:color w:val="000000" w:themeColor="text1"/>
                <w:sz w:val="16"/>
                <w:szCs w:val="16"/>
                <w:lang w:val="en-GB" w:eastAsia="en-GB"/>
              </w:rPr>
              <w:t>9</w:t>
            </w:r>
            <w:r w:rsidR="000A711F" w:rsidRPr="000149C4">
              <w:rPr>
                <w:rFonts w:ascii="Arial" w:hAnsi="Arial" w:cs="Arial"/>
                <w:color w:val="000000" w:themeColor="text1"/>
                <w:sz w:val="16"/>
                <w:szCs w:val="16"/>
                <w:lang w:val="en-GB" w:eastAsia="en-GB"/>
              </w:rPr>
              <w:t>0</w:t>
            </w:r>
          </w:p>
        </w:tc>
        <w:tc>
          <w:tcPr>
            <w:tcW w:w="1134" w:type="dxa"/>
            <w:tcBorders>
              <w:top w:val="nil"/>
              <w:left w:val="single" w:sz="8" w:space="0" w:color="000000"/>
              <w:bottom w:val="nil"/>
              <w:right w:val="single" w:sz="8" w:space="0" w:color="000000"/>
            </w:tcBorders>
            <w:vAlign w:val="bottom"/>
          </w:tcPr>
          <w:p w14:paraId="43629372" w14:textId="48D9A7E0" w:rsidR="004160DC" w:rsidRPr="000149C4" w:rsidRDefault="004160DC" w:rsidP="004160DC">
            <w:pPr>
              <w:pStyle w:val="TableParagraph"/>
              <w:spacing w:before="60" w:after="60"/>
              <w:jc w:val="center"/>
              <w:rPr>
                <w:rFonts w:ascii="Arial" w:eastAsia="Source Sans Pro" w:hAnsi="Arial" w:cs="Arial"/>
                <w:color w:val="000000" w:themeColor="text1"/>
                <w:sz w:val="16"/>
                <w:szCs w:val="16"/>
              </w:rPr>
            </w:pPr>
            <w:r w:rsidRPr="000149C4">
              <w:rPr>
                <w:rFonts w:ascii="Arial" w:hAnsi="Arial" w:cs="Arial"/>
                <w:color w:val="000000" w:themeColor="text1"/>
                <w:sz w:val="16"/>
                <w:szCs w:val="16"/>
                <w:lang w:val="en-GB" w:eastAsia="en-GB"/>
              </w:rPr>
              <w:t>£</w:t>
            </w:r>
            <w:r w:rsidR="000149C4" w:rsidRPr="000149C4">
              <w:rPr>
                <w:rFonts w:ascii="Arial" w:hAnsi="Arial" w:cs="Arial"/>
                <w:color w:val="000000" w:themeColor="text1"/>
                <w:sz w:val="16"/>
                <w:szCs w:val="16"/>
                <w:lang w:val="en-GB" w:eastAsia="en-GB"/>
              </w:rPr>
              <w:t>34,660</w:t>
            </w:r>
          </w:p>
        </w:tc>
        <w:tc>
          <w:tcPr>
            <w:tcW w:w="1276" w:type="dxa"/>
            <w:tcBorders>
              <w:top w:val="nil"/>
              <w:left w:val="single" w:sz="8" w:space="0" w:color="000000"/>
              <w:bottom w:val="nil"/>
              <w:right w:val="single" w:sz="8" w:space="0" w:color="000000"/>
            </w:tcBorders>
            <w:vAlign w:val="bottom"/>
          </w:tcPr>
          <w:p w14:paraId="23F8CA70" w14:textId="572D81DD" w:rsidR="004160DC" w:rsidRPr="000149C4" w:rsidRDefault="004160DC" w:rsidP="004160DC">
            <w:pPr>
              <w:pStyle w:val="TableParagraph"/>
              <w:spacing w:before="60" w:after="60"/>
              <w:jc w:val="center"/>
              <w:rPr>
                <w:rFonts w:ascii="Arial" w:eastAsia="Source Sans Pro" w:hAnsi="Arial" w:cs="Arial"/>
                <w:color w:val="000000" w:themeColor="text1"/>
                <w:sz w:val="16"/>
                <w:szCs w:val="16"/>
              </w:rPr>
            </w:pPr>
            <w:r w:rsidRPr="000149C4">
              <w:rPr>
                <w:rFonts w:ascii="Arial" w:hAnsi="Arial" w:cs="Arial"/>
                <w:color w:val="000000" w:themeColor="text1"/>
                <w:sz w:val="16"/>
                <w:szCs w:val="16"/>
                <w:lang w:val="en-GB" w:eastAsia="en-GB"/>
              </w:rPr>
              <w:t>£</w:t>
            </w:r>
            <w:r w:rsidR="001B7F38" w:rsidRPr="000149C4">
              <w:rPr>
                <w:rFonts w:ascii="Arial" w:hAnsi="Arial" w:cs="Arial"/>
                <w:color w:val="000000" w:themeColor="text1"/>
                <w:sz w:val="16"/>
                <w:szCs w:val="16"/>
                <w:lang w:val="en-GB" w:eastAsia="en-GB"/>
              </w:rPr>
              <w:t>3</w:t>
            </w:r>
            <w:r w:rsidR="000149C4" w:rsidRPr="000149C4">
              <w:rPr>
                <w:rFonts w:ascii="Arial" w:hAnsi="Arial" w:cs="Arial"/>
                <w:color w:val="000000" w:themeColor="text1"/>
                <w:sz w:val="16"/>
                <w:szCs w:val="16"/>
                <w:lang w:val="en-GB" w:eastAsia="en-GB"/>
              </w:rPr>
              <w:t>4,430</w:t>
            </w:r>
          </w:p>
        </w:tc>
      </w:tr>
      <w:tr w:rsidR="001427F1" w:rsidRPr="001427F1" w14:paraId="70BE280D" w14:textId="1A7AEA9B" w:rsidTr="00090281">
        <w:trPr>
          <w:trHeight w:hRule="exact" w:val="281"/>
        </w:trPr>
        <w:tc>
          <w:tcPr>
            <w:tcW w:w="607" w:type="dxa"/>
            <w:tcBorders>
              <w:top w:val="nil"/>
              <w:left w:val="single" w:sz="8" w:space="0" w:color="000000"/>
              <w:bottom w:val="nil"/>
              <w:right w:val="single" w:sz="8" w:space="0" w:color="000000"/>
            </w:tcBorders>
          </w:tcPr>
          <w:p w14:paraId="275A96EF" w14:textId="77777777" w:rsidR="004160DC" w:rsidRPr="00763D5F" w:rsidRDefault="004160DC" w:rsidP="004160DC">
            <w:pPr>
              <w:pStyle w:val="TableParagraph"/>
              <w:spacing w:before="60" w:after="60"/>
              <w:ind w:left="5"/>
              <w:jc w:val="center"/>
              <w:rPr>
                <w:rFonts w:ascii="Arial" w:eastAsia="Source Sans Pro" w:hAnsi="Arial" w:cs="Arial"/>
                <w:color w:val="000000" w:themeColor="text1"/>
                <w:sz w:val="16"/>
                <w:szCs w:val="16"/>
              </w:rPr>
            </w:pPr>
            <w:r w:rsidRPr="00763D5F">
              <w:rPr>
                <w:rFonts w:ascii="Arial" w:hAnsi="Arial" w:cs="Arial"/>
                <w:b/>
                <w:color w:val="000000" w:themeColor="text1"/>
                <w:w w:val="105"/>
                <w:sz w:val="16"/>
                <w:szCs w:val="16"/>
              </w:rPr>
              <w:t>3</w:t>
            </w:r>
          </w:p>
        </w:tc>
        <w:tc>
          <w:tcPr>
            <w:tcW w:w="1134" w:type="dxa"/>
            <w:tcBorders>
              <w:top w:val="nil"/>
              <w:left w:val="single" w:sz="8" w:space="0" w:color="000000"/>
              <w:bottom w:val="nil"/>
              <w:right w:val="single" w:sz="8" w:space="0" w:color="000000"/>
            </w:tcBorders>
            <w:vAlign w:val="bottom"/>
          </w:tcPr>
          <w:p w14:paraId="595D200C" w14:textId="6F21C8DC" w:rsidR="004160DC" w:rsidRPr="00763D5F" w:rsidRDefault="004160DC" w:rsidP="004160DC">
            <w:pPr>
              <w:pStyle w:val="TableParagraph"/>
              <w:spacing w:before="60" w:after="60"/>
              <w:jc w:val="center"/>
              <w:rPr>
                <w:rFonts w:ascii="Arial" w:eastAsia="Source Sans Pro" w:hAnsi="Arial" w:cs="Arial"/>
                <w:color w:val="000000" w:themeColor="text1"/>
                <w:sz w:val="16"/>
                <w:szCs w:val="16"/>
              </w:rPr>
            </w:pPr>
            <w:r w:rsidRPr="00763D5F">
              <w:rPr>
                <w:rFonts w:ascii="Arial" w:hAnsi="Arial" w:cs="Arial"/>
                <w:color w:val="000000" w:themeColor="text1"/>
                <w:sz w:val="16"/>
                <w:szCs w:val="16"/>
                <w:lang w:val="en-GB" w:eastAsia="en-GB"/>
              </w:rPr>
              <w:t>£</w:t>
            </w:r>
            <w:r w:rsidR="00BC67E0" w:rsidRPr="00763D5F">
              <w:rPr>
                <w:rFonts w:ascii="Arial" w:hAnsi="Arial" w:cs="Arial"/>
                <w:color w:val="000000" w:themeColor="text1"/>
                <w:sz w:val="16"/>
                <w:szCs w:val="16"/>
                <w:lang w:val="en-GB" w:eastAsia="en-GB"/>
              </w:rPr>
              <w:t>39,820</w:t>
            </w:r>
          </w:p>
        </w:tc>
        <w:tc>
          <w:tcPr>
            <w:tcW w:w="1134" w:type="dxa"/>
            <w:tcBorders>
              <w:top w:val="nil"/>
              <w:left w:val="single" w:sz="8" w:space="0" w:color="000000"/>
              <w:bottom w:val="nil"/>
              <w:right w:val="single" w:sz="8" w:space="0" w:color="000000"/>
            </w:tcBorders>
            <w:vAlign w:val="bottom"/>
          </w:tcPr>
          <w:p w14:paraId="64A3424D" w14:textId="360AA44A" w:rsidR="004160DC" w:rsidRPr="001427F1" w:rsidRDefault="004160DC" w:rsidP="004160DC">
            <w:pPr>
              <w:pStyle w:val="TableParagraph"/>
              <w:spacing w:before="60" w:after="60"/>
              <w:jc w:val="center"/>
              <w:rPr>
                <w:rFonts w:ascii="Arial" w:eastAsia="Source Sans Pro" w:hAnsi="Arial" w:cs="Arial"/>
                <w:color w:val="FF0000"/>
                <w:sz w:val="16"/>
                <w:szCs w:val="16"/>
              </w:rPr>
            </w:pPr>
            <w:r w:rsidRPr="00763D5F">
              <w:rPr>
                <w:rFonts w:ascii="Arial" w:hAnsi="Arial" w:cs="Arial"/>
                <w:color w:val="000000" w:themeColor="text1"/>
                <w:sz w:val="16"/>
                <w:szCs w:val="16"/>
                <w:lang w:val="en-GB" w:eastAsia="en-GB"/>
              </w:rPr>
              <w:t>£</w:t>
            </w:r>
            <w:r w:rsidR="00BC67E0" w:rsidRPr="00763D5F">
              <w:rPr>
                <w:rFonts w:ascii="Arial" w:hAnsi="Arial" w:cs="Arial"/>
                <w:color w:val="000000" w:themeColor="text1"/>
                <w:sz w:val="16"/>
                <w:szCs w:val="16"/>
                <w:lang w:val="en-GB" w:eastAsia="en-GB"/>
              </w:rPr>
              <w:t>39,4</w:t>
            </w:r>
            <w:r w:rsidR="00763D5F" w:rsidRPr="00763D5F">
              <w:rPr>
                <w:rFonts w:ascii="Arial" w:hAnsi="Arial" w:cs="Arial"/>
                <w:color w:val="000000" w:themeColor="text1"/>
                <w:sz w:val="16"/>
                <w:szCs w:val="16"/>
                <w:lang w:val="en-GB" w:eastAsia="en-GB"/>
              </w:rPr>
              <w:t>0</w:t>
            </w:r>
            <w:r w:rsidR="00BC67E0" w:rsidRPr="00763D5F">
              <w:rPr>
                <w:rFonts w:ascii="Arial" w:hAnsi="Arial" w:cs="Arial"/>
                <w:color w:val="000000" w:themeColor="text1"/>
                <w:sz w:val="16"/>
                <w:szCs w:val="16"/>
                <w:lang w:val="en-GB" w:eastAsia="en-GB"/>
              </w:rPr>
              <w:t>0</w:t>
            </w:r>
          </w:p>
        </w:tc>
        <w:tc>
          <w:tcPr>
            <w:tcW w:w="1276" w:type="dxa"/>
            <w:tcBorders>
              <w:top w:val="nil"/>
              <w:left w:val="single" w:sz="8" w:space="0" w:color="000000"/>
              <w:bottom w:val="nil"/>
              <w:right w:val="single" w:sz="8" w:space="0" w:color="000000"/>
            </w:tcBorders>
            <w:vAlign w:val="bottom"/>
          </w:tcPr>
          <w:p w14:paraId="66336AEC" w14:textId="6E2E801D" w:rsidR="004160DC" w:rsidRPr="00305EA3" w:rsidRDefault="004160DC" w:rsidP="004160DC">
            <w:pPr>
              <w:pStyle w:val="TableParagraph"/>
              <w:spacing w:before="60" w:after="60"/>
              <w:jc w:val="center"/>
              <w:rPr>
                <w:rFonts w:ascii="Arial" w:eastAsia="Source Sans Pro" w:hAnsi="Arial" w:cs="Arial"/>
                <w:color w:val="000000" w:themeColor="text1"/>
                <w:sz w:val="16"/>
                <w:szCs w:val="16"/>
              </w:rPr>
            </w:pPr>
            <w:r w:rsidRPr="00305EA3">
              <w:rPr>
                <w:rFonts w:ascii="Arial" w:hAnsi="Arial" w:cs="Arial"/>
                <w:color w:val="000000" w:themeColor="text1"/>
                <w:sz w:val="16"/>
                <w:szCs w:val="16"/>
                <w:lang w:val="en-GB" w:eastAsia="en-GB"/>
              </w:rPr>
              <w:t>£</w:t>
            </w:r>
            <w:r w:rsidR="004E6C48" w:rsidRPr="00305EA3">
              <w:rPr>
                <w:rFonts w:ascii="Arial" w:hAnsi="Arial" w:cs="Arial"/>
                <w:color w:val="000000" w:themeColor="text1"/>
                <w:sz w:val="16"/>
                <w:szCs w:val="16"/>
                <w:lang w:val="en-GB" w:eastAsia="en-GB"/>
              </w:rPr>
              <w:t>3</w:t>
            </w:r>
            <w:r w:rsidR="00305EA3" w:rsidRPr="00305EA3">
              <w:rPr>
                <w:rFonts w:ascii="Arial" w:hAnsi="Arial" w:cs="Arial"/>
                <w:color w:val="000000" w:themeColor="text1"/>
                <w:sz w:val="16"/>
                <w:szCs w:val="16"/>
                <w:lang w:val="en-GB" w:eastAsia="en-GB"/>
              </w:rPr>
              <w:t>6</w:t>
            </w:r>
            <w:r w:rsidR="004E6C48" w:rsidRPr="00305EA3">
              <w:rPr>
                <w:rFonts w:ascii="Arial" w:hAnsi="Arial" w:cs="Arial"/>
                <w:color w:val="000000" w:themeColor="text1"/>
                <w:sz w:val="16"/>
                <w:szCs w:val="16"/>
                <w:lang w:val="en-GB" w:eastAsia="en-GB"/>
              </w:rPr>
              <w:t>,5</w:t>
            </w:r>
            <w:r w:rsidR="00305EA3" w:rsidRPr="00305EA3">
              <w:rPr>
                <w:rFonts w:ascii="Arial" w:hAnsi="Arial" w:cs="Arial"/>
                <w:color w:val="000000" w:themeColor="text1"/>
                <w:sz w:val="16"/>
                <w:szCs w:val="16"/>
                <w:lang w:val="en-GB" w:eastAsia="en-GB"/>
              </w:rPr>
              <w:t>6</w:t>
            </w:r>
            <w:r w:rsidR="004E6C48" w:rsidRPr="00305EA3">
              <w:rPr>
                <w:rFonts w:ascii="Arial" w:hAnsi="Arial" w:cs="Arial"/>
                <w:color w:val="000000" w:themeColor="text1"/>
                <w:sz w:val="16"/>
                <w:szCs w:val="16"/>
                <w:lang w:val="en-GB" w:eastAsia="en-GB"/>
              </w:rPr>
              <w:t>0</w:t>
            </w:r>
          </w:p>
        </w:tc>
        <w:tc>
          <w:tcPr>
            <w:tcW w:w="1134" w:type="dxa"/>
            <w:tcBorders>
              <w:top w:val="nil"/>
              <w:left w:val="single" w:sz="8" w:space="0" w:color="000000"/>
              <w:bottom w:val="nil"/>
              <w:right w:val="single" w:sz="8" w:space="0" w:color="000000"/>
            </w:tcBorders>
            <w:vAlign w:val="bottom"/>
          </w:tcPr>
          <w:p w14:paraId="5D99CF9A" w14:textId="3B686EB7" w:rsidR="004160DC" w:rsidRPr="001427F1" w:rsidRDefault="004160DC" w:rsidP="004160DC">
            <w:pPr>
              <w:pStyle w:val="TableParagraph"/>
              <w:spacing w:before="60" w:after="60"/>
              <w:jc w:val="center"/>
              <w:rPr>
                <w:rFonts w:ascii="Arial" w:eastAsia="Source Sans Pro" w:hAnsi="Arial" w:cs="Arial"/>
                <w:color w:val="FF0000"/>
                <w:sz w:val="16"/>
                <w:szCs w:val="16"/>
              </w:rPr>
            </w:pPr>
            <w:r w:rsidRPr="00305EA3">
              <w:rPr>
                <w:rFonts w:ascii="Arial" w:hAnsi="Arial" w:cs="Arial"/>
                <w:color w:val="000000" w:themeColor="text1"/>
                <w:sz w:val="16"/>
                <w:szCs w:val="16"/>
                <w:lang w:val="en-GB" w:eastAsia="en-GB"/>
              </w:rPr>
              <w:t>£</w:t>
            </w:r>
            <w:r w:rsidR="008E1BD6" w:rsidRPr="00305EA3">
              <w:rPr>
                <w:rFonts w:ascii="Arial" w:hAnsi="Arial" w:cs="Arial"/>
                <w:color w:val="000000" w:themeColor="text1"/>
                <w:sz w:val="16"/>
                <w:szCs w:val="16"/>
                <w:lang w:val="en-GB" w:eastAsia="en-GB"/>
              </w:rPr>
              <w:t>3</w:t>
            </w:r>
            <w:r w:rsidR="00305EA3" w:rsidRPr="00305EA3">
              <w:rPr>
                <w:rFonts w:ascii="Arial" w:hAnsi="Arial" w:cs="Arial"/>
                <w:color w:val="000000" w:themeColor="text1"/>
                <w:sz w:val="16"/>
                <w:szCs w:val="16"/>
                <w:lang w:val="en-GB" w:eastAsia="en-GB"/>
              </w:rPr>
              <w:t>6,140</w:t>
            </w:r>
          </w:p>
        </w:tc>
        <w:tc>
          <w:tcPr>
            <w:tcW w:w="1134" w:type="dxa"/>
            <w:tcBorders>
              <w:top w:val="nil"/>
              <w:left w:val="single" w:sz="8" w:space="0" w:color="000000"/>
              <w:bottom w:val="nil"/>
              <w:right w:val="single" w:sz="8" w:space="0" w:color="000000"/>
            </w:tcBorders>
            <w:vAlign w:val="bottom"/>
          </w:tcPr>
          <w:p w14:paraId="13F3F589" w14:textId="530289D8" w:rsidR="004160DC" w:rsidRPr="000149C4" w:rsidRDefault="003D7B0C" w:rsidP="004160DC">
            <w:pPr>
              <w:pStyle w:val="TableParagraph"/>
              <w:spacing w:before="60" w:after="60"/>
              <w:jc w:val="center"/>
              <w:rPr>
                <w:rFonts w:ascii="Arial" w:eastAsia="Source Sans Pro" w:hAnsi="Arial" w:cs="Arial"/>
                <w:color w:val="000000" w:themeColor="text1"/>
                <w:sz w:val="16"/>
                <w:szCs w:val="16"/>
              </w:rPr>
            </w:pPr>
            <w:r w:rsidRPr="000149C4">
              <w:rPr>
                <w:rFonts w:ascii="Arial" w:hAnsi="Arial" w:cs="Arial"/>
                <w:color w:val="000000" w:themeColor="text1"/>
                <w:sz w:val="16"/>
                <w:szCs w:val="16"/>
                <w:lang w:val="en-GB" w:eastAsia="en-GB"/>
              </w:rPr>
              <w:t>£</w:t>
            </w:r>
            <w:r w:rsidR="008E1BD6" w:rsidRPr="000149C4">
              <w:rPr>
                <w:rFonts w:ascii="Arial" w:hAnsi="Arial" w:cs="Arial"/>
                <w:color w:val="000000" w:themeColor="text1"/>
                <w:sz w:val="16"/>
                <w:szCs w:val="16"/>
                <w:lang w:val="en-GB" w:eastAsia="en-GB"/>
              </w:rPr>
              <w:t>39,820</w:t>
            </w:r>
          </w:p>
        </w:tc>
        <w:tc>
          <w:tcPr>
            <w:tcW w:w="1134" w:type="dxa"/>
            <w:tcBorders>
              <w:top w:val="nil"/>
              <w:left w:val="single" w:sz="8" w:space="0" w:color="000000"/>
              <w:bottom w:val="nil"/>
              <w:right w:val="single" w:sz="8" w:space="0" w:color="000000"/>
            </w:tcBorders>
            <w:vAlign w:val="bottom"/>
          </w:tcPr>
          <w:p w14:paraId="49CF84A7" w14:textId="5B760BCD" w:rsidR="004160DC" w:rsidRPr="000149C4" w:rsidRDefault="004160DC" w:rsidP="004160DC">
            <w:pPr>
              <w:pStyle w:val="TableParagraph"/>
              <w:spacing w:before="60" w:after="60"/>
              <w:jc w:val="center"/>
              <w:rPr>
                <w:rFonts w:ascii="Arial" w:eastAsia="Source Sans Pro" w:hAnsi="Arial" w:cs="Arial"/>
                <w:color w:val="000000" w:themeColor="text1"/>
                <w:sz w:val="16"/>
                <w:szCs w:val="16"/>
              </w:rPr>
            </w:pPr>
            <w:r w:rsidRPr="000149C4">
              <w:rPr>
                <w:rFonts w:ascii="Arial" w:hAnsi="Arial" w:cs="Arial"/>
                <w:color w:val="000000" w:themeColor="text1"/>
                <w:sz w:val="16"/>
                <w:szCs w:val="16"/>
                <w:lang w:val="en-GB" w:eastAsia="en-GB"/>
              </w:rPr>
              <w:t>£</w:t>
            </w:r>
            <w:r w:rsidR="000A711F" w:rsidRPr="000149C4">
              <w:rPr>
                <w:rFonts w:ascii="Arial" w:hAnsi="Arial" w:cs="Arial"/>
                <w:color w:val="000000" w:themeColor="text1"/>
                <w:sz w:val="16"/>
                <w:szCs w:val="16"/>
                <w:lang w:val="en-GB" w:eastAsia="en-GB"/>
              </w:rPr>
              <w:t>39,4</w:t>
            </w:r>
            <w:r w:rsidR="000149C4" w:rsidRPr="000149C4">
              <w:rPr>
                <w:rFonts w:ascii="Arial" w:hAnsi="Arial" w:cs="Arial"/>
                <w:color w:val="000000" w:themeColor="text1"/>
                <w:sz w:val="16"/>
                <w:szCs w:val="16"/>
                <w:lang w:val="en-GB" w:eastAsia="en-GB"/>
              </w:rPr>
              <w:t>3</w:t>
            </w:r>
            <w:r w:rsidR="000A711F" w:rsidRPr="000149C4">
              <w:rPr>
                <w:rFonts w:ascii="Arial" w:hAnsi="Arial" w:cs="Arial"/>
                <w:color w:val="000000" w:themeColor="text1"/>
                <w:sz w:val="16"/>
                <w:szCs w:val="16"/>
                <w:lang w:val="en-GB" w:eastAsia="en-GB"/>
              </w:rPr>
              <w:t>0</w:t>
            </w:r>
          </w:p>
        </w:tc>
        <w:tc>
          <w:tcPr>
            <w:tcW w:w="1134" w:type="dxa"/>
            <w:tcBorders>
              <w:top w:val="nil"/>
              <w:left w:val="single" w:sz="8" w:space="0" w:color="000000"/>
              <w:bottom w:val="nil"/>
              <w:right w:val="single" w:sz="8" w:space="0" w:color="000000"/>
            </w:tcBorders>
            <w:vAlign w:val="bottom"/>
          </w:tcPr>
          <w:p w14:paraId="446AD59E" w14:textId="1FC00D87" w:rsidR="004160DC" w:rsidRPr="000149C4" w:rsidRDefault="004160DC" w:rsidP="004160DC">
            <w:pPr>
              <w:pStyle w:val="TableParagraph"/>
              <w:spacing w:before="60" w:after="60"/>
              <w:jc w:val="center"/>
              <w:rPr>
                <w:rFonts w:ascii="Arial" w:eastAsia="Source Sans Pro" w:hAnsi="Arial" w:cs="Arial"/>
                <w:color w:val="000000" w:themeColor="text1"/>
                <w:sz w:val="16"/>
                <w:szCs w:val="16"/>
              </w:rPr>
            </w:pPr>
            <w:r w:rsidRPr="000149C4">
              <w:rPr>
                <w:rFonts w:ascii="Arial" w:hAnsi="Arial" w:cs="Arial"/>
                <w:color w:val="000000" w:themeColor="text1"/>
                <w:sz w:val="16"/>
                <w:szCs w:val="16"/>
                <w:lang w:val="en-GB" w:eastAsia="en-GB"/>
              </w:rPr>
              <w:t>£</w:t>
            </w:r>
            <w:r w:rsidR="001B7F38" w:rsidRPr="000149C4">
              <w:rPr>
                <w:rFonts w:ascii="Arial" w:hAnsi="Arial" w:cs="Arial"/>
                <w:color w:val="000000" w:themeColor="text1"/>
                <w:sz w:val="16"/>
                <w:szCs w:val="16"/>
                <w:lang w:val="en-GB" w:eastAsia="en-GB"/>
              </w:rPr>
              <w:t>3</w:t>
            </w:r>
            <w:r w:rsidR="000149C4" w:rsidRPr="000149C4">
              <w:rPr>
                <w:rFonts w:ascii="Arial" w:hAnsi="Arial" w:cs="Arial"/>
                <w:color w:val="000000" w:themeColor="text1"/>
                <w:sz w:val="16"/>
                <w:szCs w:val="16"/>
                <w:lang w:val="en-GB" w:eastAsia="en-GB"/>
              </w:rPr>
              <w:t>4,490</w:t>
            </w:r>
          </w:p>
        </w:tc>
        <w:tc>
          <w:tcPr>
            <w:tcW w:w="1276" w:type="dxa"/>
            <w:tcBorders>
              <w:top w:val="nil"/>
              <w:left w:val="single" w:sz="8" w:space="0" w:color="000000"/>
              <w:bottom w:val="nil"/>
              <w:right w:val="single" w:sz="8" w:space="0" w:color="000000"/>
            </w:tcBorders>
            <w:vAlign w:val="bottom"/>
          </w:tcPr>
          <w:p w14:paraId="7886ED75" w14:textId="1B1B354E" w:rsidR="004160DC" w:rsidRPr="000149C4" w:rsidRDefault="004160DC" w:rsidP="004160DC">
            <w:pPr>
              <w:pStyle w:val="TableParagraph"/>
              <w:spacing w:before="60" w:after="60"/>
              <w:jc w:val="center"/>
              <w:rPr>
                <w:rFonts w:ascii="Arial" w:eastAsia="Source Sans Pro" w:hAnsi="Arial" w:cs="Arial"/>
                <w:color w:val="000000" w:themeColor="text1"/>
                <w:sz w:val="16"/>
                <w:szCs w:val="16"/>
              </w:rPr>
            </w:pPr>
            <w:r w:rsidRPr="000149C4">
              <w:rPr>
                <w:rFonts w:ascii="Arial" w:hAnsi="Arial" w:cs="Arial"/>
                <w:color w:val="000000" w:themeColor="text1"/>
                <w:sz w:val="16"/>
                <w:szCs w:val="16"/>
                <w:lang w:val="en-GB" w:eastAsia="en-GB"/>
              </w:rPr>
              <w:t>£</w:t>
            </w:r>
            <w:r w:rsidR="001B7F38" w:rsidRPr="000149C4">
              <w:rPr>
                <w:rFonts w:ascii="Arial" w:hAnsi="Arial" w:cs="Arial"/>
                <w:color w:val="000000" w:themeColor="text1"/>
                <w:sz w:val="16"/>
                <w:szCs w:val="16"/>
                <w:lang w:val="en-GB" w:eastAsia="en-GB"/>
              </w:rPr>
              <w:t>3</w:t>
            </w:r>
            <w:r w:rsidR="000149C4" w:rsidRPr="000149C4">
              <w:rPr>
                <w:rFonts w:ascii="Arial" w:hAnsi="Arial" w:cs="Arial"/>
                <w:color w:val="000000" w:themeColor="text1"/>
                <w:sz w:val="16"/>
                <w:szCs w:val="16"/>
                <w:lang w:val="en-GB" w:eastAsia="en-GB"/>
              </w:rPr>
              <w:t>4</w:t>
            </w:r>
            <w:r w:rsidR="001B7F38" w:rsidRPr="000149C4">
              <w:rPr>
                <w:rFonts w:ascii="Arial" w:hAnsi="Arial" w:cs="Arial"/>
                <w:color w:val="000000" w:themeColor="text1"/>
                <w:sz w:val="16"/>
                <w:szCs w:val="16"/>
                <w:lang w:val="en-GB" w:eastAsia="en-GB"/>
              </w:rPr>
              <w:t>,150</w:t>
            </w:r>
          </w:p>
        </w:tc>
      </w:tr>
      <w:tr w:rsidR="001427F1" w:rsidRPr="001427F1" w14:paraId="06F2323B" w14:textId="6B50A7B3" w:rsidTr="00090281">
        <w:trPr>
          <w:trHeight w:hRule="exact" w:val="281"/>
        </w:trPr>
        <w:tc>
          <w:tcPr>
            <w:tcW w:w="607" w:type="dxa"/>
            <w:tcBorders>
              <w:top w:val="nil"/>
              <w:left w:val="single" w:sz="8" w:space="0" w:color="000000"/>
              <w:bottom w:val="nil"/>
              <w:right w:val="single" w:sz="8" w:space="0" w:color="000000"/>
            </w:tcBorders>
          </w:tcPr>
          <w:p w14:paraId="4A136425" w14:textId="77777777" w:rsidR="004160DC" w:rsidRPr="001427F1" w:rsidRDefault="004160DC" w:rsidP="004160DC">
            <w:pPr>
              <w:pStyle w:val="TableParagraph"/>
              <w:spacing w:before="60" w:after="60"/>
              <w:ind w:left="5"/>
              <w:jc w:val="center"/>
              <w:rPr>
                <w:rFonts w:ascii="Arial" w:eastAsia="Source Sans Pro" w:hAnsi="Arial" w:cs="Arial"/>
                <w:color w:val="FF0000"/>
                <w:sz w:val="16"/>
                <w:szCs w:val="16"/>
              </w:rPr>
            </w:pPr>
            <w:r w:rsidRPr="00763D5F">
              <w:rPr>
                <w:rFonts w:ascii="Arial" w:hAnsi="Arial" w:cs="Arial"/>
                <w:b/>
                <w:color w:val="000000" w:themeColor="text1"/>
                <w:w w:val="105"/>
                <w:sz w:val="16"/>
                <w:szCs w:val="16"/>
              </w:rPr>
              <w:t>4</w:t>
            </w:r>
          </w:p>
        </w:tc>
        <w:tc>
          <w:tcPr>
            <w:tcW w:w="1134" w:type="dxa"/>
            <w:tcBorders>
              <w:top w:val="nil"/>
              <w:left w:val="single" w:sz="8" w:space="0" w:color="000000"/>
              <w:bottom w:val="nil"/>
              <w:right w:val="single" w:sz="8" w:space="0" w:color="000000"/>
            </w:tcBorders>
            <w:vAlign w:val="bottom"/>
          </w:tcPr>
          <w:p w14:paraId="64F5CF28" w14:textId="67D157EA" w:rsidR="004160DC" w:rsidRPr="00763D5F" w:rsidRDefault="004160DC" w:rsidP="004160DC">
            <w:pPr>
              <w:pStyle w:val="TableParagraph"/>
              <w:spacing w:before="60" w:after="60"/>
              <w:jc w:val="center"/>
              <w:rPr>
                <w:rFonts w:ascii="Arial" w:eastAsia="Source Sans Pro" w:hAnsi="Arial" w:cs="Arial"/>
                <w:color w:val="000000" w:themeColor="text1"/>
                <w:sz w:val="16"/>
                <w:szCs w:val="16"/>
              </w:rPr>
            </w:pPr>
            <w:r w:rsidRPr="00763D5F">
              <w:rPr>
                <w:rFonts w:ascii="Arial" w:hAnsi="Arial" w:cs="Arial"/>
                <w:color w:val="000000" w:themeColor="text1"/>
                <w:sz w:val="16"/>
                <w:szCs w:val="16"/>
                <w:lang w:val="en-GB" w:eastAsia="en-GB"/>
              </w:rPr>
              <w:t>£4</w:t>
            </w:r>
            <w:r w:rsidR="00BC67E0" w:rsidRPr="00763D5F">
              <w:rPr>
                <w:rFonts w:ascii="Arial" w:hAnsi="Arial" w:cs="Arial"/>
                <w:color w:val="000000" w:themeColor="text1"/>
                <w:sz w:val="16"/>
                <w:szCs w:val="16"/>
                <w:lang w:val="en-GB" w:eastAsia="en-GB"/>
              </w:rPr>
              <w:t>1,560</w:t>
            </w:r>
          </w:p>
        </w:tc>
        <w:tc>
          <w:tcPr>
            <w:tcW w:w="1134" w:type="dxa"/>
            <w:tcBorders>
              <w:top w:val="nil"/>
              <w:left w:val="single" w:sz="8" w:space="0" w:color="000000"/>
              <w:bottom w:val="nil"/>
              <w:right w:val="single" w:sz="8" w:space="0" w:color="000000"/>
            </w:tcBorders>
            <w:vAlign w:val="bottom"/>
          </w:tcPr>
          <w:p w14:paraId="45192B11" w14:textId="0DBB45BB" w:rsidR="004160DC" w:rsidRPr="001427F1" w:rsidRDefault="004160DC" w:rsidP="004160DC">
            <w:pPr>
              <w:pStyle w:val="TableParagraph"/>
              <w:spacing w:before="60" w:after="60"/>
              <w:jc w:val="center"/>
              <w:rPr>
                <w:rFonts w:ascii="Arial" w:eastAsia="Source Sans Pro" w:hAnsi="Arial" w:cs="Arial"/>
                <w:color w:val="FF0000"/>
                <w:sz w:val="16"/>
                <w:szCs w:val="16"/>
              </w:rPr>
            </w:pPr>
            <w:r w:rsidRPr="00763D5F">
              <w:rPr>
                <w:rFonts w:ascii="Arial" w:hAnsi="Arial" w:cs="Arial"/>
                <w:color w:val="000000" w:themeColor="text1"/>
                <w:sz w:val="16"/>
                <w:szCs w:val="16"/>
                <w:lang w:val="en-GB" w:eastAsia="en-GB"/>
              </w:rPr>
              <w:t>£4</w:t>
            </w:r>
            <w:r w:rsidR="00763D5F" w:rsidRPr="00763D5F">
              <w:rPr>
                <w:rFonts w:ascii="Arial" w:hAnsi="Arial" w:cs="Arial"/>
                <w:color w:val="000000" w:themeColor="text1"/>
                <w:sz w:val="16"/>
                <w:szCs w:val="16"/>
                <w:lang w:val="en-GB" w:eastAsia="en-GB"/>
              </w:rPr>
              <w:t>0</w:t>
            </w:r>
            <w:r w:rsidR="00BC67E0" w:rsidRPr="00763D5F">
              <w:rPr>
                <w:rFonts w:ascii="Arial" w:hAnsi="Arial" w:cs="Arial"/>
                <w:color w:val="000000" w:themeColor="text1"/>
                <w:sz w:val="16"/>
                <w:szCs w:val="16"/>
                <w:lang w:val="en-GB" w:eastAsia="en-GB"/>
              </w:rPr>
              <w:t>,</w:t>
            </w:r>
            <w:r w:rsidR="00763D5F" w:rsidRPr="00763D5F">
              <w:rPr>
                <w:rFonts w:ascii="Arial" w:hAnsi="Arial" w:cs="Arial"/>
                <w:color w:val="000000" w:themeColor="text1"/>
                <w:sz w:val="16"/>
                <w:szCs w:val="16"/>
                <w:lang w:val="en-GB" w:eastAsia="en-GB"/>
              </w:rPr>
              <w:t>980</w:t>
            </w:r>
          </w:p>
        </w:tc>
        <w:tc>
          <w:tcPr>
            <w:tcW w:w="1276" w:type="dxa"/>
            <w:tcBorders>
              <w:top w:val="nil"/>
              <w:left w:val="single" w:sz="8" w:space="0" w:color="000000"/>
              <w:bottom w:val="nil"/>
              <w:right w:val="single" w:sz="8" w:space="0" w:color="000000"/>
            </w:tcBorders>
            <w:vAlign w:val="bottom"/>
          </w:tcPr>
          <w:p w14:paraId="7195F67A" w14:textId="0B67965F" w:rsidR="004160DC" w:rsidRPr="00305EA3" w:rsidRDefault="004160DC" w:rsidP="004160DC">
            <w:pPr>
              <w:pStyle w:val="TableParagraph"/>
              <w:spacing w:before="60" w:after="60"/>
              <w:jc w:val="center"/>
              <w:rPr>
                <w:rFonts w:ascii="Arial" w:eastAsia="Source Sans Pro" w:hAnsi="Arial" w:cs="Arial"/>
                <w:color w:val="000000" w:themeColor="text1"/>
                <w:sz w:val="16"/>
                <w:szCs w:val="16"/>
              </w:rPr>
            </w:pPr>
            <w:r w:rsidRPr="00305EA3">
              <w:rPr>
                <w:rFonts w:ascii="Arial" w:hAnsi="Arial" w:cs="Arial"/>
                <w:color w:val="000000" w:themeColor="text1"/>
                <w:sz w:val="16"/>
                <w:szCs w:val="16"/>
                <w:lang w:val="en-GB" w:eastAsia="en-GB"/>
              </w:rPr>
              <w:t>£</w:t>
            </w:r>
            <w:r w:rsidR="004E6C48" w:rsidRPr="00305EA3">
              <w:rPr>
                <w:rFonts w:ascii="Arial" w:hAnsi="Arial" w:cs="Arial"/>
                <w:color w:val="000000" w:themeColor="text1"/>
                <w:sz w:val="16"/>
                <w:szCs w:val="16"/>
                <w:lang w:val="en-GB" w:eastAsia="en-GB"/>
              </w:rPr>
              <w:t>3</w:t>
            </w:r>
            <w:r w:rsidR="00305EA3" w:rsidRPr="00305EA3">
              <w:rPr>
                <w:rFonts w:ascii="Arial" w:hAnsi="Arial" w:cs="Arial"/>
                <w:color w:val="000000" w:themeColor="text1"/>
                <w:sz w:val="16"/>
                <w:szCs w:val="16"/>
                <w:lang w:val="en-GB" w:eastAsia="en-GB"/>
              </w:rPr>
              <w:t>7</w:t>
            </w:r>
            <w:r w:rsidR="004E6C48" w:rsidRPr="00305EA3">
              <w:rPr>
                <w:rFonts w:ascii="Arial" w:hAnsi="Arial" w:cs="Arial"/>
                <w:color w:val="000000" w:themeColor="text1"/>
                <w:sz w:val="16"/>
                <w:szCs w:val="16"/>
                <w:lang w:val="en-GB" w:eastAsia="en-GB"/>
              </w:rPr>
              <w:t>,</w:t>
            </w:r>
            <w:r w:rsidR="00305EA3" w:rsidRPr="00305EA3">
              <w:rPr>
                <w:rFonts w:ascii="Arial" w:hAnsi="Arial" w:cs="Arial"/>
                <w:color w:val="000000" w:themeColor="text1"/>
                <w:sz w:val="16"/>
                <w:szCs w:val="16"/>
                <w:lang w:val="en-GB" w:eastAsia="en-GB"/>
              </w:rPr>
              <w:t>090</w:t>
            </w:r>
          </w:p>
        </w:tc>
        <w:tc>
          <w:tcPr>
            <w:tcW w:w="1134" w:type="dxa"/>
            <w:tcBorders>
              <w:top w:val="nil"/>
              <w:left w:val="single" w:sz="8" w:space="0" w:color="000000"/>
              <w:bottom w:val="nil"/>
              <w:right w:val="single" w:sz="8" w:space="0" w:color="000000"/>
            </w:tcBorders>
            <w:vAlign w:val="bottom"/>
          </w:tcPr>
          <w:p w14:paraId="211D9537" w14:textId="0F905EC4" w:rsidR="004160DC" w:rsidRPr="001427F1" w:rsidRDefault="004160DC" w:rsidP="004160DC">
            <w:pPr>
              <w:pStyle w:val="TableParagraph"/>
              <w:spacing w:before="60" w:after="60"/>
              <w:jc w:val="center"/>
              <w:rPr>
                <w:rFonts w:ascii="Arial" w:eastAsia="Source Sans Pro" w:hAnsi="Arial" w:cs="Arial"/>
                <w:color w:val="FF0000"/>
                <w:sz w:val="16"/>
                <w:szCs w:val="16"/>
              </w:rPr>
            </w:pPr>
            <w:r w:rsidRPr="00305EA3">
              <w:rPr>
                <w:rFonts w:ascii="Arial" w:hAnsi="Arial" w:cs="Arial"/>
                <w:color w:val="000000" w:themeColor="text1"/>
                <w:sz w:val="16"/>
                <w:szCs w:val="16"/>
                <w:lang w:val="en-GB" w:eastAsia="en-GB"/>
              </w:rPr>
              <w:t>£</w:t>
            </w:r>
            <w:r w:rsidR="008E1BD6" w:rsidRPr="00305EA3">
              <w:rPr>
                <w:rFonts w:ascii="Arial" w:hAnsi="Arial" w:cs="Arial"/>
                <w:color w:val="000000" w:themeColor="text1"/>
                <w:sz w:val="16"/>
                <w:szCs w:val="16"/>
                <w:lang w:val="en-GB" w:eastAsia="en-GB"/>
              </w:rPr>
              <w:t>3</w:t>
            </w:r>
            <w:r w:rsidR="00305EA3" w:rsidRPr="00305EA3">
              <w:rPr>
                <w:rFonts w:ascii="Arial" w:hAnsi="Arial" w:cs="Arial"/>
                <w:color w:val="000000" w:themeColor="text1"/>
                <w:sz w:val="16"/>
                <w:szCs w:val="16"/>
                <w:lang w:val="en-GB" w:eastAsia="en-GB"/>
              </w:rPr>
              <w:t>6,530</w:t>
            </w:r>
          </w:p>
        </w:tc>
        <w:tc>
          <w:tcPr>
            <w:tcW w:w="1134" w:type="dxa"/>
            <w:tcBorders>
              <w:top w:val="nil"/>
              <w:left w:val="single" w:sz="8" w:space="0" w:color="000000"/>
              <w:bottom w:val="nil"/>
              <w:right w:val="single" w:sz="8" w:space="0" w:color="000000"/>
            </w:tcBorders>
            <w:vAlign w:val="bottom"/>
          </w:tcPr>
          <w:p w14:paraId="79454CCD" w14:textId="7D6704F6" w:rsidR="004160DC" w:rsidRPr="000149C4" w:rsidRDefault="004160DC" w:rsidP="004160DC">
            <w:pPr>
              <w:pStyle w:val="TableParagraph"/>
              <w:spacing w:before="60" w:after="60"/>
              <w:jc w:val="center"/>
              <w:rPr>
                <w:rFonts w:ascii="Arial" w:eastAsia="Source Sans Pro" w:hAnsi="Arial" w:cs="Arial"/>
                <w:color w:val="000000" w:themeColor="text1"/>
                <w:sz w:val="16"/>
                <w:szCs w:val="16"/>
              </w:rPr>
            </w:pPr>
            <w:r w:rsidRPr="000149C4">
              <w:rPr>
                <w:rFonts w:ascii="Arial" w:hAnsi="Arial" w:cs="Arial"/>
                <w:color w:val="000000" w:themeColor="text1"/>
                <w:sz w:val="16"/>
                <w:szCs w:val="16"/>
                <w:lang w:val="en-GB" w:eastAsia="en-GB"/>
              </w:rPr>
              <w:t>£4</w:t>
            </w:r>
            <w:r w:rsidR="008E1BD6" w:rsidRPr="000149C4">
              <w:rPr>
                <w:rFonts w:ascii="Arial" w:hAnsi="Arial" w:cs="Arial"/>
                <w:color w:val="000000" w:themeColor="text1"/>
                <w:sz w:val="16"/>
                <w:szCs w:val="16"/>
                <w:lang w:val="en-GB" w:eastAsia="en-GB"/>
              </w:rPr>
              <w:t>1,560</w:t>
            </w:r>
          </w:p>
        </w:tc>
        <w:tc>
          <w:tcPr>
            <w:tcW w:w="1134" w:type="dxa"/>
            <w:tcBorders>
              <w:top w:val="nil"/>
              <w:left w:val="single" w:sz="8" w:space="0" w:color="000000"/>
              <w:bottom w:val="nil"/>
              <w:right w:val="single" w:sz="8" w:space="0" w:color="000000"/>
            </w:tcBorders>
            <w:vAlign w:val="bottom"/>
          </w:tcPr>
          <w:p w14:paraId="3E904DDA" w14:textId="1CCB1736" w:rsidR="004160DC" w:rsidRPr="000149C4" w:rsidRDefault="004160DC" w:rsidP="004160DC">
            <w:pPr>
              <w:pStyle w:val="TableParagraph"/>
              <w:spacing w:before="60" w:after="60"/>
              <w:jc w:val="center"/>
              <w:rPr>
                <w:rFonts w:ascii="Arial" w:eastAsia="Source Sans Pro" w:hAnsi="Arial" w:cs="Arial"/>
                <w:color w:val="000000" w:themeColor="text1"/>
                <w:sz w:val="16"/>
                <w:szCs w:val="16"/>
              </w:rPr>
            </w:pPr>
            <w:r w:rsidRPr="000149C4">
              <w:rPr>
                <w:rFonts w:ascii="Arial" w:hAnsi="Arial" w:cs="Arial"/>
                <w:color w:val="000000" w:themeColor="text1"/>
                <w:sz w:val="16"/>
                <w:szCs w:val="16"/>
                <w:lang w:val="en-GB" w:eastAsia="en-GB"/>
              </w:rPr>
              <w:t>£</w:t>
            </w:r>
            <w:r w:rsidR="000A711F" w:rsidRPr="000149C4">
              <w:rPr>
                <w:rFonts w:ascii="Arial" w:hAnsi="Arial" w:cs="Arial"/>
                <w:color w:val="000000" w:themeColor="text1"/>
                <w:sz w:val="16"/>
                <w:szCs w:val="16"/>
                <w:lang w:val="en-GB" w:eastAsia="en-GB"/>
              </w:rPr>
              <w:t>41,0</w:t>
            </w:r>
            <w:r w:rsidR="000149C4" w:rsidRPr="000149C4">
              <w:rPr>
                <w:rFonts w:ascii="Arial" w:hAnsi="Arial" w:cs="Arial"/>
                <w:color w:val="000000" w:themeColor="text1"/>
                <w:sz w:val="16"/>
                <w:szCs w:val="16"/>
                <w:lang w:val="en-GB" w:eastAsia="en-GB"/>
              </w:rPr>
              <w:t>2</w:t>
            </w:r>
            <w:r w:rsidR="000A711F" w:rsidRPr="000149C4">
              <w:rPr>
                <w:rFonts w:ascii="Arial" w:hAnsi="Arial" w:cs="Arial"/>
                <w:color w:val="000000" w:themeColor="text1"/>
                <w:sz w:val="16"/>
                <w:szCs w:val="16"/>
                <w:lang w:val="en-GB" w:eastAsia="en-GB"/>
              </w:rPr>
              <w:t>0</w:t>
            </w:r>
          </w:p>
        </w:tc>
        <w:tc>
          <w:tcPr>
            <w:tcW w:w="1134" w:type="dxa"/>
            <w:tcBorders>
              <w:top w:val="nil"/>
              <w:left w:val="single" w:sz="8" w:space="0" w:color="000000"/>
              <w:bottom w:val="nil"/>
              <w:right w:val="single" w:sz="8" w:space="0" w:color="000000"/>
            </w:tcBorders>
            <w:vAlign w:val="bottom"/>
          </w:tcPr>
          <w:p w14:paraId="676D07F9" w14:textId="5B945FF4" w:rsidR="004160DC" w:rsidRPr="000149C4" w:rsidRDefault="004160DC" w:rsidP="004160DC">
            <w:pPr>
              <w:pStyle w:val="TableParagraph"/>
              <w:spacing w:before="60" w:after="60"/>
              <w:jc w:val="center"/>
              <w:rPr>
                <w:rFonts w:ascii="Arial" w:eastAsia="Source Sans Pro" w:hAnsi="Arial" w:cs="Arial"/>
                <w:color w:val="000000" w:themeColor="text1"/>
                <w:sz w:val="16"/>
                <w:szCs w:val="16"/>
              </w:rPr>
            </w:pPr>
            <w:r w:rsidRPr="000149C4">
              <w:rPr>
                <w:rFonts w:ascii="Arial" w:hAnsi="Arial" w:cs="Arial"/>
                <w:color w:val="000000" w:themeColor="text1"/>
                <w:sz w:val="16"/>
                <w:szCs w:val="16"/>
                <w:lang w:val="en-GB" w:eastAsia="en-GB"/>
              </w:rPr>
              <w:t>£</w:t>
            </w:r>
            <w:r w:rsidR="001B7F38" w:rsidRPr="000149C4">
              <w:rPr>
                <w:rFonts w:ascii="Arial" w:hAnsi="Arial" w:cs="Arial"/>
                <w:color w:val="000000" w:themeColor="text1"/>
                <w:sz w:val="16"/>
                <w:szCs w:val="16"/>
                <w:lang w:val="en-GB" w:eastAsia="en-GB"/>
              </w:rPr>
              <w:t>3</w:t>
            </w:r>
            <w:r w:rsidR="000149C4" w:rsidRPr="000149C4">
              <w:rPr>
                <w:rFonts w:ascii="Arial" w:hAnsi="Arial" w:cs="Arial"/>
                <w:color w:val="000000" w:themeColor="text1"/>
                <w:sz w:val="16"/>
                <w:szCs w:val="16"/>
                <w:lang w:val="en-GB" w:eastAsia="en-GB"/>
              </w:rPr>
              <w:t>4,320</w:t>
            </w:r>
          </w:p>
        </w:tc>
        <w:tc>
          <w:tcPr>
            <w:tcW w:w="1276" w:type="dxa"/>
            <w:tcBorders>
              <w:top w:val="nil"/>
              <w:left w:val="single" w:sz="8" w:space="0" w:color="000000"/>
              <w:bottom w:val="nil"/>
              <w:right w:val="single" w:sz="8" w:space="0" w:color="000000"/>
            </w:tcBorders>
            <w:vAlign w:val="bottom"/>
          </w:tcPr>
          <w:p w14:paraId="103E6428" w14:textId="6193B248" w:rsidR="004160DC" w:rsidRPr="000149C4" w:rsidRDefault="004160DC" w:rsidP="004160DC">
            <w:pPr>
              <w:pStyle w:val="TableParagraph"/>
              <w:spacing w:before="60" w:after="60"/>
              <w:jc w:val="center"/>
              <w:rPr>
                <w:rFonts w:ascii="Arial" w:eastAsia="Source Sans Pro" w:hAnsi="Arial" w:cs="Arial"/>
                <w:color w:val="000000" w:themeColor="text1"/>
                <w:sz w:val="16"/>
                <w:szCs w:val="16"/>
              </w:rPr>
            </w:pPr>
            <w:r w:rsidRPr="000149C4">
              <w:rPr>
                <w:rFonts w:ascii="Arial" w:hAnsi="Arial" w:cs="Arial"/>
                <w:color w:val="000000" w:themeColor="text1"/>
                <w:sz w:val="16"/>
                <w:szCs w:val="16"/>
                <w:lang w:val="en-GB" w:eastAsia="en-GB"/>
              </w:rPr>
              <w:t>£</w:t>
            </w:r>
            <w:r w:rsidR="001B7F38" w:rsidRPr="000149C4">
              <w:rPr>
                <w:rFonts w:ascii="Arial" w:hAnsi="Arial" w:cs="Arial"/>
                <w:color w:val="000000" w:themeColor="text1"/>
                <w:sz w:val="16"/>
                <w:szCs w:val="16"/>
                <w:lang w:val="en-GB" w:eastAsia="en-GB"/>
              </w:rPr>
              <w:t>3</w:t>
            </w:r>
            <w:r w:rsidR="000149C4" w:rsidRPr="000149C4">
              <w:rPr>
                <w:rFonts w:ascii="Arial" w:hAnsi="Arial" w:cs="Arial"/>
                <w:color w:val="000000" w:themeColor="text1"/>
                <w:sz w:val="16"/>
                <w:szCs w:val="16"/>
                <w:lang w:val="en-GB" w:eastAsia="en-GB"/>
              </w:rPr>
              <w:t>3</w:t>
            </w:r>
            <w:r w:rsidR="001B7F38" w:rsidRPr="000149C4">
              <w:rPr>
                <w:rFonts w:ascii="Arial" w:hAnsi="Arial" w:cs="Arial"/>
                <w:color w:val="000000" w:themeColor="text1"/>
                <w:sz w:val="16"/>
                <w:szCs w:val="16"/>
                <w:lang w:val="en-GB" w:eastAsia="en-GB"/>
              </w:rPr>
              <w:t>,</w:t>
            </w:r>
            <w:r w:rsidR="000149C4" w:rsidRPr="000149C4">
              <w:rPr>
                <w:rFonts w:ascii="Arial" w:hAnsi="Arial" w:cs="Arial"/>
                <w:color w:val="000000" w:themeColor="text1"/>
                <w:sz w:val="16"/>
                <w:szCs w:val="16"/>
                <w:lang w:val="en-GB" w:eastAsia="en-GB"/>
              </w:rPr>
              <w:t>870</w:t>
            </w:r>
          </w:p>
        </w:tc>
      </w:tr>
      <w:tr w:rsidR="001427F1" w:rsidRPr="001427F1" w14:paraId="359D272A" w14:textId="44951C30" w:rsidTr="00090281">
        <w:trPr>
          <w:trHeight w:hRule="exact" w:val="281"/>
        </w:trPr>
        <w:tc>
          <w:tcPr>
            <w:tcW w:w="607" w:type="dxa"/>
            <w:tcBorders>
              <w:top w:val="nil"/>
              <w:left w:val="single" w:sz="8" w:space="0" w:color="000000"/>
              <w:right w:val="single" w:sz="8" w:space="0" w:color="000000"/>
            </w:tcBorders>
          </w:tcPr>
          <w:p w14:paraId="147DAD58" w14:textId="77777777" w:rsidR="004160DC" w:rsidRPr="001427F1" w:rsidRDefault="004160DC" w:rsidP="004160DC">
            <w:pPr>
              <w:pStyle w:val="TableParagraph"/>
              <w:spacing w:before="60" w:after="60"/>
              <w:ind w:left="5"/>
              <w:jc w:val="center"/>
              <w:rPr>
                <w:rFonts w:ascii="Arial" w:eastAsia="Source Sans Pro" w:hAnsi="Arial" w:cs="Arial"/>
                <w:color w:val="FF0000"/>
                <w:sz w:val="16"/>
                <w:szCs w:val="16"/>
              </w:rPr>
            </w:pPr>
            <w:r w:rsidRPr="00763D5F">
              <w:rPr>
                <w:rFonts w:ascii="Arial" w:hAnsi="Arial" w:cs="Arial"/>
                <w:b/>
                <w:color w:val="000000" w:themeColor="text1"/>
                <w:w w:val="105"/>
                <w:sz w:val="16"/>
                <w:szCs w:val="16"/>
              </w:rPr>
              <w:t>5</w:t>
            </w:r>
          </w:p>
        </w:tc>
        <w:tc>
          <w:tcPr>
            <w:tcW w:w="1134" w:type="dxa"/>
            <w:tcBorders>
              <w:top w:val="nil"/>
              <w:left w:val="single" w:sz="8" w:space="0" w:color="000000"/>
              <w:right w:val="single" w:sz="8" w:space="0" w:color="000000"/>
            </w:tcBorders>
            <w:vAlign w:val="bottom"/>
          </w:tcPr>
          <w:p w14:paraId="346FCD61" w14:textId="61F3157E" w:rsidR="004160DC" w:rsidRPr="00763D5F" w:rsidRDefault="004160DC" w:rsidP="004160DC">
            <w:pPr>
              <w:pStyle w:val="TableParagraph"/>
              <w:spacing w:before="60" w:after="60"/>
              <w:jc w:val="center"/>
              <w:rPr>
                <w:rFonts w:ascii="Arial" w:eastAsia="Source Sans Pro" w:hAnsi="Arial" w:cs="Arial"/>
                <w:color w:val="000000" w:themeColor="text1"/>
                <w:sz w:val="16"/>
                <w:szCs w:val="16"/>
              </w:rPr>
            </w:pPr>
            <w:r w:rsidRPr="00763D5F">
              <w:rPr>
                <w:rFonts w:ascii="Arial" w:hAnsi="Arial" w:cs="Arial"/>
                <w:color w:val="000000" w:themeColor="text1"/>
                <w:sz w:val="16"/>
                <w:szCs w:val="16"/>
                <w:lang w:val="en-GB" w:eastAsia="en-GB"/>
              </w:rPr>
              <w:t>£</w:t>
            </w:r>
            <w:r w:rsidR="00BC67E0" w:rsidRPr="00763D5F">
              <w:rPr>
                <w:rFonts w:ascii="Arial" w:hAnsi="Arial" w:cs="Arial"/>
                <w:color w:val="000000" w:themeColor="text1"/>
                <w:sz w:val="16"/>
                <w:szCs w:val="16"/>
                <w:lang w:val="en-GB" w:eastAsia="en-GB"/>
              </w:rPr>
              <w:t>43,390</w:t>
            </w:r>
          </w:p>
        </w:tc>
        <w:tc>
          <w:tcPr>
            <w:tcW w:w="1134" w:type="dxa"/>
            <w:tcBorders>
              <w:top w:val="nil"/>
              <w:left w:val="single" w:sz="8" w:space="0" w:color="000000"/>
              <w:right w:val="single" w:sz="8" w:space="0" w:color="000000"/>
            </w:tcBorders>
            <w:vAlign w:val="bottom"/>
          </w:tcPr>
          <w:p w14:paraId="4026D5DC" w14:textId="088FF8A2" w:rsidR="004160DC" w:rsidRPr="001427F1" w:rsidRDefault="004160DC" w:rsidP="004160DC">
            <w:pPr>
              <w:pStyle w:val="TableParagraph"/>
              <w:spacing w:before="60" w:after="60"/>
              <w:jc w:val="center"/>
              <w:rPr>
                <w:rFonts w:ascii="Arial" w:eastAsia="Source Sans Pro" w:hAnsi="Arial" w:cs="Arial"/>
                <w:color w:val="FF0000"/>
                <w:sz w:val="16"/>
                <w:szCs w:val="16"/>
              </w:rPr>
            </w:pPr>
            <w:r w:rsidRPr="00763D5F">
              <w:rPr>
                <w:rFonts w:ascii="Arial" w:hAnsi="Arial" w:cs="Arial"/>
                <w:color w:val="000000" w:themeColor="text1"/>
                <w:sz w:val="16"/>
                <w:szCs w:val="16"/>
                <w:lang w:val="en-GB" w:eastAsia="en-GB"/>
              </w:rPr>
              <w:t>£4</w:t>
            </w:r>
            <w:r w:rsidR="00BC67E0" w:rsidRPr="00763D5F">
              <w:rPr>
                <w:rFonts w:ascii="Arial" w:hAnsi="Arial" w:cs="Arial"/>
                <w:color w:val="000000" w:themeColor="text1"/>
                <w:sz w:val="16"/>
                <w:szCs w:val="16"/>
                <w:lang w:val="en-GB" w:eastAsia="en-GB"/>
              </w:rPr>
              <w:t>2,</w:t>
            </w:r>
            <w:r w:rsidR="00763D5F" w:rsidRPr="00763D5F">
              <w:rPr>
                <w:rFonts w:ascii="Arial" w:hAnsi="Arial" w:cs="Arial"/>
                <w:color w:val="000000" w:themeColor="text1"/>
                <w:sz w:val="16"/>
                <w:szCs w:val="16"/>
                <w:lang w:val="en-GB" w:eastAsia="en-GB"/>
              </w:rPr>
              <w:t>630</w:t>
            </w:r>
          </w:p>
        </w:tc>
        <w:tc>
          <w:tcPr>
            <w:tcW w:w="1276" w:type="dxa"/>
            <w:tcBorders>
              <w:top w:val="nil"/>
              <w:left w:val="single" w:sz="8" w:space="0" w:color="000000"/>
              <w:right w:val="single" w:sz="8" w:space="0" w:color="000000"/>
            </w:tcBorders>
            <w:vAlign w:val="bottom"/>
          </w:tcPr>
          <w:p w14:paraId="2CE727AC" w14:textId="28307801" w:rsidR="004160DC" w:rsidRPr="00305EA3" w:rsidRDefault="004160DC" w:rsidP="004160DC">
            <w:pPr>
              <w:pStyle w:val="TableParagraph"/>
              <w:spacing w:before="60" w:after="60"/>
              <w:jc w:val="center"/>
              <w:rPr>
                <w:rFonts w:ascii="Arial" w:eastAsia="Source Sans Pro" w:hAnsi="Arial" w:cs="Arial"/>
                <w:color w:val="000000" w:themeColor="text1"/>
                <w:sz w:val="16"/>
                <w:szCs w:val="16"/>
              </w:rPr>
            </w:pPr>
            <w:r w:rsidRPr="00305EA3">
              <w:rPr>
                <w:rFonts w:ascii="Arial" w:hAnsi="Arial" w:cs="Arial"/>
                <w:color w:val="000000" w:themeColor="text1"/>
                <w:sz w:val="16"/>
                <w:szCs w:val="16"/>
                <w:lang w:val="en-GB" w:eastAsia="en-GB"/>
              </w:rPr>
              <w:t>£</w:t>
            </w:r>
            <w:r w:rsidR="004E6C48" w:rsidRPr="00305EA3">
              <w:rPr>
                <w:rFonts w:ascii="Arial" w:hAnsi="Arial" w:cs="Arial"/>
                <w:color w:val="000000" w:themeColor="text1"/>
                <w:sz w:val="16"/>
                <w:szCs w:val="16"/>
                <w:lang w:val="en-GB" w:eastAsia="en-GB"/>
              </w:rPr>
              <w:t>3</w:t>
            </w:r>
            <w:r w:rsidR="00305EA3" w:rsidRPr="00305EA3">
              <w:rPr>
                <w:rFonts w:ascii="Arial" w:hAnsi="Arial" w:cs="Arial"/>
                <w:color w:val="000000" w:themeColor="text1"/>
                <w:sz w:val="16"/>
                <w:szCs w:val="16"/>
                <w:lang w:val="en-GB" w:eastAsia="en-GB"/>
              </w:rPr>
              <w:t>7</w:t>
            </w:r>
            <w:r w:rsidR="004E6C48" w:rsidRPr="00305EA3">
              <w:rPr>
                <w:rFonts w:ascii="Arial" w:hAnsi="Arial" w:cs="Arial"/>
                <w:color w:val="000000" w:themeColor="text1"/>
                <w:sz w:val="16"/>
                <w:szCs w:val="16"/>
                <w:lang w:val="en-GB" w:eastAsia="en-GB"/>
              </w:rPr>
              <w:t>,</w:t>
            </w:r>
            <w:r w:rsidR="00305EA3" w:rsidRPr="00305EA3">
              <w:rPr>
                <w:rFonts w:ascii="Arial" w:hAnsi="Arial" w:cs="Arial"/>
                <w:color w:val="000000" w:themeColor="text1"/>
                <w:sz w:val="16"/>
                <w:szCs w:val="16"/>
                <w:lang w:val="en-GB" w:eastAsia="en-GB"/>
              </w:rPr>
              <w:t>640</w:t>
            </w:r>
          </w:p>
        </w:tc>
        <w:tc>
          <w:tcPr>
            <w:tcW w:w="1134" w:type="dxa"/>
            <w:tcBorders>
              <w:top w:val="nil"/>
              <w:left w:val="single" w:sz="8" w:space="0" w:color="000000"/>
              <w:right w:val="single" w:sz="8" w:space="0" w:color="000000"/>
            </w:tcBorders>
            <w:vAlign w:val="bottom"/>
          </w:tcPr>
          <w:p w14:paraId="3AE9C7A7" w14:textId="4688734F" w:rsidR="004160DC" w:rsidRPr="001427F1" w:rsidRDefault="004160DC" w:rsidP="004160DC">
            <w:pPr>
              <w:pStyle w:val="TableParagraph"/>
              <w:spacing w:before="60" w:after="60"/>
              <w:jc w:val="center"/>
              <w:rPr>
                <w:rFonts w:ascii="Arial" w:eastAsia="Source Sans Pro" w:hAnsi="Arial" w:cs="Arial"/>
                <w:color w:val="FF0000"/>
                <w:sz w:val="16"/>
                <w:szCs w:val="16"/>
              </w:rPr>
            </w:pPr>
            <w:r w:rsidRPr="00305EA3">
              <w:rPr>
                <w:rFonts w:ascii="Arial" w:hAnsi="Arial" w:cs="Arial"/>
                <w:color w:val="000000" w:themeColor="text1"/>
                <w:sz w:val="16"/>
                <w:szCs w:val="16"/>
                <w:lang w:val="en-GB" w:eastAsia="en-GB"/>
              </w:rPr>
              <w:t>£</w:t>
            </w:r>
            <w:r w:rsidR="008E1BD6" w:rsidRPr="00305EA3">
              <w:rPr>
                <w:rFonts w:ascii="Arial" w:hAnsi="Arial" w:cs="Arial"/>
                <w:color w:val="000000" w:themeColor="text1"/>
                <w:sz w:val="16"/>
                <w:szCs w:val="16"/>
                <w:lang w:val="en-GB" w:eastAsia="en-GB"/>
              </w:rPr>
              <w:t>3</w:t>
            </w:r>
            <w:r w:rsidR="00305EA3" w:rsidRPr="00305EA3">
              <w:rPr>
                <w:rFonts w:ascii="Arial" w:hAnsi="Arial" w:cs="Arial"/>
                <w:color w:val="000000" w:themeColor="text1"/>
                <w:sz w:val="16"/>
                <w:szCs w:val="16"/>
                <w:lang w:val="en-GB" w:eastAsia="en-GB"/>
              </w:rPr>
              <w:t>6,930</w:t>
            </w:r>
          </w:p>
        </w:tc>
        <w:tc>
          <w:tcPr>
            <w:tcW w:w="1134" w:type="dxa"/>
            <w:tcBorders>
              <w:top w:val="nil"/>
              <w:left w:val="single" w:sz="8" w:space="0" w:color="000000"/>
              <w:right w:val="single" w:sz="8" w:space="0" w:color="000000"/>
            </w:tcBorders>
            <w:vAlign w:val="bottom"/>
          </w:tcPr>
          <w:p w14:paraId="0B9565E8" w14:textId="40F69E67" w:rsidR="004160DC" w:rsidRPr="000149C4" w:rsidRDefault="004160DC" w:rsidP="004160DC">
            <w:pPr>
              <w:pStyle w:val="TableParagraph"/>
              <w:spacing w:before="60" w:after="60"/>
              <w:jc w:val="center"/>
              <w:rPr>
                <w:rFonts w:ascii="Arial" w:eastAsia="Source Sans Pro" w:hAnsi="Arial" w:cs="Arial"/>
                <w:color w:val="000000" w:themeColor="text1"/>
                <w:sz w:val="16"/>
                <w:szCs w:val="16"/>
              </w:rPr>
            </w:pPr>
            <w:r w:rsidRPr="000149C4">
              <w:rPr>
                <w:rFonts w:ascii="Arial" w:hAnsi="Arial" w:cs="Arial"/>
                <w:color w:val="000000" w:themeColor="text1"/>
                <w:sz w:val="16"/>
                <w:szCs w:val="16"/>
                <w:lang w:val="en-GB" w:eastAsia="en-GB"/>
              </w:rPr>
              <w:t>£</w:t>
            </w:r>
            <w:r w:rsidR="008E1BD6" w:rsidRPr="000149C4">
              <w:rPr>
                <w:rFonts w:ascii="Arial" w:hAnsi="Arial" w:cs="Arial"/>
                <w:color w:val="000000" w:themeColor="text1"/>
                <w:sz w:val="16"/>
                <w:szCs w:val="16"/>
                <w:lang w:val="en-GB" w:eastAsia="en-GB"/>
              </w:rPr>
              <w:t>43,390</w:t>
            </w:r>
          </w:p>
        </w:tc>
        <w:tc>
          <w:tcPr>
            <w:tcW w:w="1134" w:type="dxa"/>
            <w:tcBorders>
              <w:top w:val="nil"/>
              <w:left w:val="single" w:sz="8" w:space="0" w:color="000000"/>
              <w:right w:val="single" w:sz="8" w:space="0" w:color="000000"/>
            </w:tcBorders>
            <w:vAlign w:val="bottom"/>
          </w:tcPr>
          <w:p w14:paraId="56C5D916" w14:textId="3D808943" w:rsidR="004160DC" w:rsidRPr="000149C4" w:rsidRDefault="004160DC" w:rsidP="004160DC">
            <w:pPr>
              <w:pStyle w:val="TableParagraph"/>
              <w:spacing w:before="60" w:after="60"/>
              <w:jc w:val="center"/>
              <w:rPr>
                <w:rFonts w:ascii="Arial" w:eastAsia="Source Sans Pro" w:hAnsi="Arial" w:cs="Arial"/>
                <w:color w:val="000000" w:themeColor="text1"/>
                <w:sz w:val="16"/>
                <w:szCs w:val="16"/>
              </w:rPr>
            </w:pPr>
            <w:r w:rsidRPr="000149C4">
              <w:rPr>
                <w:rFonts w:ascii="Arial" w:hAnsi="Arial" w:cs="Arial"/>
                <w:color w:val="000000" w:themeColor="text1"/>
                <w:sz w:val="16"/>
                <w:szCs w:val="16"/>
                <w:lang w:val="en-GB" w:eastAsia="en-GB"/>
              </w:rPr>
              <w:t>£4</w:t>
            </w:r>
            <w:r w:rsidR="000A711F" w:rsidRPr="000149C4">
              <w:rPr>
                <w:rFonts w:ascii="Arial" w:hAnsi="Arial" w:cs="Arial"/>
                <w:color w:val="000000" w:themeColor="text1"/>
                <w:sz w:val="16"/>
                <w:szCs w:val="16"/>
                <w:lang w:val="en-GB" w:eastAsia="en-GB"/>
              </w:rPr>
              <w:t>2,6</w:t>
            </w:r>
            <w:r w:rsidR="000149C4" w:rsidRPr="000149C4">
              <w:rPr>
                <w:rFonts w:ascii="Arial" w:hAnsi="Arial" w:cs="Arial"/>
                <w:color w:val="000000" w:themeColor="text1"/>
                <w:sz w:val="16"/>
                <w:szCs w:val="16"/>
                <w:lang w:val="en-GB" w:eastAsia="en-GB"/>
              </w:rPr>
              <w:t>8</w:t>
            </w:r>
            <w:r w:rsidR="000A711F" w:rsidRPr="000149C4">
              <w:rPr>
                <w:rFonts w:ascii="Arial" w:hAnsi="Arial" w:cs="Arial"/>
                <w:color w:val="000000" w:themeColor="text1"/>
                <w:sz w:val="16"/>
                <w:szCs w:val="16"/>
                <w:lang w:val="en-GB" w:eastAsia="en-GB"/>
              </w:rPr>
              <w:t>0</w:t>
            </w:r>
          </w:p>
        </w:tc>
        <w:tc>
          <w:tcPr>
            <w:tcW w:w="1134" w:type="dxa"/>
            <w:tcBorders>
              <w:top w:val="nil"/>
              <w:left w:val="single" w:sz="8" w:space="0" w:color="000000"/>
              <w:right w:val="single" w:sz="8" w:space="0" w:color="000000"/>
            </w:tcBorders>
            <w:vAlign w:val="bottom"/>
          </w:tcPr>
          <w:p w14:paraId="5F1E5F0F" w14:textId="786BEAAD" w:rsidR="004160DC" w:rsidRPr="000149C4" w:rsidRDefault="004160DC" w:rsidP="004160DC">
            <w:pPr>
              <w:pStyle w:val="TableParagraph"/>
              <w:spacing w:before="60" w:after="60"/>
              <w:jc w:val="center"/>
              <w:rPr>
                <w:rFonts w:ascii="Arial" w:eastAsia="Source Sans Pro" w:hAnsi="Arial" w:cs="Arial"/>
                <w:color w:val="000000" w:themeColor="text1"/>
                <w:sz w:val="16"/>
                <w:szCs w:val="16"/>
              </w:rPr>
            </w:pPr>
            <w:r w:rsidRPr="000149C4">
              <w:rPr>
                <w:rFonts w:ascii="Arial" w:hAnsi="Arial" w:cs="Arial"/>
                <w:color w:val="000000" w:themeColor="text1"/>
                <w:sz w:val="16"/>
                <w:szCs w:val="16"/>
                <w:lang w:val="en-GB" w:eastAsia="en-GB"/>
              </w:rPr>
              <w:t>£</w:t>
            </w:r>
            <w:r w:rsidR="001B7F38" w:rsidRPr="000149C4">
              <w:rPr>
                <w:rFonts w:ascii="Arial" w:hAnsi="Arial" w:cs="Arial"/>
                <w:color w:val="000000" w:themeColor="text1"/>
                <w:sz w:val="16"/>
                <w:szCs w:val="16"/>
                <w:lang w:val="en-GB" w:eastAsia="en-GB"/>
              </w:rPr>
              <w:t>3</w:t>
            </w:r>
            <w:r w:rsidR="000149C4" w:rsidRPr="000149C4">
              <w:rPr>
                <w:rFonts w:ascii="Arial" w:hAnsi="Arial" w:cs="Arial"/>
                <w:color w:val="000000" w:themeColor="text1"/>
                <w:sz w:val="16"/>
                <w:szCs w:val="16"/>
                <w:lang w:val="en-GB" w:eastAsia="en-GB"/>
              </w:rPr>
              <w:t>4,150</w:t>
            </w:r>
          </w:p>
        </w:tc>
        <w:tc>
          <w:tcPr>
            <w:tcW w:w="1276" w:type="dxa"/>
            <w:tcBorders>
              <w:top w:val="nil"/>
              <w:left w:val="single" w:sz="8" w:space="0" w:color="000000"/>
              <w:right w:val="single" w:sz="8" w:space="0" w:color="000000"/>
            </w:tcBorders>
            <w:vAlign w:val="bottom"/>
          </w:tcPr>
          <w:p w14:paraId="2767261F" w14:textId="4E572421" w:rsidR="004160DC" w:rsidRPr="000149C4" w:rsidRDefault="004160DC" w:rsidP="004160DC">
            <w:pPr>
              <w:pStyle w:val="TableParagraph"/>
              <w:spacing w:before="60" w:after="60"/>
              <w:jc w:val="center"/>
              <w:rPr>
                <w:rFonts w:ascii="Arial" w:eastAsia="Source Sans Pro" w:hAnsi="Arial" w:cs="Arial"/>
                <w:color w:val="000000" w:themeColor="text1"/>
                <w:sz w:val="16"/>
                <w:szCs w:val="16"/>
              </w:rPr>
            </w:pPr>
            <w:r w:rsidRPr="000149C4">
              <w:rPr>
                <w:rFonts w:ascii="Arial" w:hAnsi="Arial" w:cs="Arial"/>
                <w:color w:val="000000" w:themeColor="text1"/>
                <w:sz w:val="16"/>
                <w:szCs w:val="16"/>
                <w:lang w:val="en-GB" w:eastAsia="en-GB"/>
              </w:rPr>
              <w:t>£</w:t>
            </w:r>
            <w:r w:rsidR="001B7F38" w:rsidRPr="000149C4">
              <w:rPr>
                <w:rFonts w:ascii="Arial" w:hAnsi="Arial" w:cs="Arial"/>
                <w:color w:val="000000" w:themeColor="text1"/>
                <w:sz w:val="16"/>
                <w:szCs w:val="16"/>
                <w:lang w:val="en-GB" w:eastAsia="en-GB"/>
              </w:rPr>
              <w:t>3</w:t>
            </w:r>
            <w:r w:rsidR="000149C4" w:rsidRPr="000149C4">
              <w:rPr>
                <w:rFonts w:ascii="Arial" w:hAnsi="Arial" w:cs="Arial"/>
                <w:color w:val="000000" w:themeColor="text1"/>
                <w:sz w:val="16"/>
                <w:szCs w:val="16"/>
                <w:lang w:val="en-GB" w:eastAsia="en-GB"/>
              </w:rPr>
              <w:t>3</w:t>
            </w:r>
            <w:r w:rsidR="001B7F38" w:rsidRPr="000149C4">
              <w:rPr>
                <w:rFonts w:ascii="Arial" w:hAnsi="Arial" w:cs="Arial"/>
                <w:color w:val="000000" w:themeColor="text1"/>
                <w:sz w:val="16"/>
                <w:szCs w:val="16"/>
                <w:lang w:val="en-GB" w:eastAsia="en-GB"/>
              </w:rPr>
              <w:t>,</w:t>
            </w:r>
            <w:r w:rsidR="000149C4" w:rsidRPr="000149C4">
              <w:rPr>
                <w:rFonts w:ascii="Arial" w:hAnsi="Arial" w:cs="Arial"/>
                <w:color w:val="000000" w:themeColor="text1"/>
                <w:sz w:val="16"/>
                <w:szCs w:val="16"/>
                <w:lang w:val="en-GB" w:eastAsia="en-GB"/>
              </w:rPr>
              <w:t>590</w:t>
            </w:r>
          </w:p>
        </w:tc>
      </w:tr>
      <w:tr w:rsidR="001427F1" w:rsidRPr="001427F1" w14:paraId="47E932C4" w14:textId="3B2E2E15" w:rsidTr="00090281">
        <w:trPr>
          <w:trHeight w:hRule="exact" w:val="281"/>
        </w:trPr>
        <w:tc>
          <w:tcPr>
            <w:tcW w:w="607" w:type="dxa"/>
            <w:tcBorders>
              <w:top w:val="nil"/>
              <w:left w:val="single" w:sz="8" w:space="0" w:color="000000"/>
              <w:bottom w:val="single" w:sz="4" w:space="0" w:color="auto"/>
              <w:right w:val="single" w:sz="8" w:space="0" w:color="000000"/>
            </w:tcBorders>
          </w:tcPr>
          <w:p w14:paraId="68F43366" w14:textId="77777777" w:rsidR="004160DC" w:rsidRPr="001427F1" w:rsidRDefault="004160DC" w:rsidP="004160DC">
            <w:pPr>
              <w:pStyle w:val="TableParagraph"/>
              <w:spacing w:before="60" w:after="60"/>
              <w:ind w:left="4"/>
              <w:jc w:val="center"/>
              <w:rPr>
                <w:rFonts w:ascii="Arial" w:eastAsia="Source Sans Pro" w:hAnsi="Arial" w:cs="Arial"/>
                <w:color w:val="FF0000"/>
                <w:sz w:val="16"/>
                <w:szCs w:val="16"/>
              </w:rPr>
            </w:pPr>
            <w:r w:rsidRPr="00763D5F">
              <w:rPr>
                <w:rFonts w:ascii="Arial" w:hAnsi="Arial" w:cs="Arial"/>
                <w:b/>
                <w:color w:val="000000" w:themeColor="text1"/>
                <w:spacing w:val="-1"/>
                <w:w w:val="105"/>
                <w:sz w:val="16"/>
                <w:szCs w:val="16"/>
              </w:rPr>
              <w:t>10</w:t>
            </w:r>
          </w:p>
        </w:tc>
        <w:tc>
          <w:tcPr>
            <w:tcW w:w="1134" w:type="dxa"/>
            <w:tcBorders>
              <w:top w:val="nil"/>
              <w:left w:val="single" w:sz="8" w:space="0" w:color="000000"/>
              <w:bottom w:val="single" w:sz="4" w:space="0" w:color="auto"/>
              <w:right w:val="single" w:sz="8" w:space="0" w:color="000000"/>
            </w:tcBorders>
            <w:vAlign w:val="bottom"/>
          </w:tcPr>
          <w:p w14:paraId="7B64B248" w14:textId="44F80945" w:rsidR="004160DC" w:rsidRPr="00763D5F" w:rsidRDefault="004160DC" w:rsidP="004160DC">
            <w:pPr>
              <w:pStyle w:val="TableParagraph"/>
              <w:spacing w:before="60" w:after="60"/>
              <w:jc w:val="center"/>
              <w:rPr>
                <w:rFonts w:ascii="Arial" w:eastAsia="Source Sans Pro" w:hAnsi="Arial" w:cs="Arial"/>
                <w:color w:val="000000" w:themeColor="text1"/>
                <w:sz w:val="16"/>
                <w:szCs w:val="16"/>
              </w:rPr>
            </w:pPr>
            <w:r w:rsidRPr="00763D5F">
              <w:rPr>
                <w:rFonts w:ascii="Arial" w:hAnsi="Arial" w:cs="Arial"/>
                <w:color w:val="000000" w:themeColor="text1"/>
                <w:sz w:val="16"/>
                <w:szCs w:val="16"/>
                <w:lang w:val="en-GB" w:eastAsia="en-GB"/>
              </w:rPr>
              <w:t>£</w:t>
            </w:r>
            <w:r w:rsidR="00BC67E0" w:rsidRPr="00763D5F">
              <w:rPr>
                <w:rFonts w:ascii="Arial" w:hAnsi="Arial" w:cs="Arial"/>
                <w:color w:val="000000" w:themeColor="text1"/>
                <w:sz w:val="16"/>
                <w:szCs w:val="16"/>
                <w:lang w:val="en-GB" w:eastAsia="en-GB"/>
              </w:rPr>
              <w:t>53,790</w:t>
            </w:r>
          </w:p>
        </w:tc>
        <w:tc>
          <w:tcPr>
            <w:tcW w:w="1134" w:type="dxa"/>
            <w:tcBorders>
              <w:top w:val="nil"/>
              <w:left w:val="single" w:sz="8" w:space="0" w:color="000000"/>
              <w:bottom w:val="single" w:sz="4" w:space="0" w:color="auto"/>
              <w:right w:val="single" w:sz="8" w:space="0" w:color="000000"/>
            </w:tcBorders>
            <w:vAlign w:val="bottom"/>
          </w:tcPr>
          <w:p w14:paraId="61187961" w14:textId="2439CCDC" w:rsidR="004160DC" w:rsidRPr="001427F1" w:rsidRDefault="004160DC" w:rsidP="004160DC">
            <w:pPr>
              <w:pStyle w:val="TableParagraph"/>
              <w:spacing w:before="60" w:after="60"/>
              <w:jc w:val="center"/>
              <w:rPr>
                <w:rFonts w:ascii="Arial" w:eastAsia="Source Sans Pro" w:hAnsi="Arial" w:cs="Arial"/>
                <w:color w:val="FF0000"/>
                <w:sz w:val="16"/>
                <w:szCs w:val="16"/>
              </w:rPr>
            </w:pPr>
            <w:r w:rsidRPr="00763D5F">
              <w:rPr>
                <w:rFonts w:ascii="Arial" w:hAnsi="Arial" w:cs="Arial"/>
                <w:color w:val="000000" w:themeColor="text1"/>
                <w:sz w:val="16"/>
                <w:szCs w:val="16"/>
                <w:lang w:val="en-GB" w:eastAsia="en-GB"/>
              </w:rPr>
              <w:t>£</w:t>
            </w:r>
            <w:r w:rsidR="00BC67E0" w:rsidRPr="00763D5F">
              <w:rPr>
                <w:rFonts w:ascii="Arial" w:hAnsi="Arial" w:cs="Arial"/>
                <w:color w:val="000000" w:themeColor="text1"/>
                <w:sz w:val="16"/>
                <w:szCs w:val="16"/>
                <w:lang w:val="en-GB" w:eastAsia="en-GB"/>
              </w:rPr>
              <w:t>5</w:t>
            </w:r>
            <w:r w:rsidR="00763D5F" w:rsidRPr="00763D5F">
              <w:rPr>
                <w:rFonts w:ascii="Arial" w:hAnsi="Arial" w:cs="Arial"/>
                <w:color w:val="000000" w:themeColor="text1"/>
                <w:sz w:val="16"/>
                <w:szCs w:val="16"/>
                <w:lang w:val="en-GB" w:eastAsia="en-GB"/>
              </w:rPr>
              <w:t>1</w:t>
            </w:r>
            <w:r w:rsidR="00BC67E0" w:rsidRPr="00763D5F">
              <w:rPr>
                <w:rFonts w:ascii="Arial" w:hAnsi="Arial" w:cs="Arial"/>
                <w:color w:val="000000" w:themeColor="text1"/>
                <w:sz w:val="16"/>
                <w:szCs w:val="16"/>
                <w:lang w:val="en-GB" w:eastAsia="en-GB"/>
              </w:rPr>
              <w:t>,</w:t>
            </w:r>
            <w:r w:rsidR="00763D5F" w:rsidRPr="00763D5F">
              <w:rPr>
                <w:rFonts w:ascii="Arial" w:hAnsi="Arial" w:cs="Arial"/>
                <w:color w:val="000000" w:themeColor="text1"/>
                <w:sz w:val="16"/>
                <w:szCs w:val="16"/>
                <w:lang w:val="en-GB" w:eastAsia="en-GB"/>
              </w:rPr>
              <w:t>920</w:t>
            </w:r>
          </w:p>
        </w:tc>
        <w:tc>
          <w:tcPr>
            <w:tcW w:w="1276" w:type="dxa"/>
            <w:tcBorders>
              <w:top w:val="nil"/>
              <w:left w:val="single" w:sz="8" w:space="0" w:color="000000"/>
              <w:bottom w:val="single" w:sz="4" w:space="0" w:color="auto"/>
              <w:right w:val="single" w:sz="8" w:space="0" w:color="000000"/>
            </w:tcBorders>
            <w:vAlign w:val="bottom"/>
          </w:tcPr>
          <w:p w14:paraId="02F55695" w14:textId="57D11315" w:rsidR="004160DC" w:rsidRPr="00305EA3" w:rsidRDefault="004160DC" w:rsidP="004160DC">
            <w:pPr>
              <w:pStyle w:val="TableParagraph"/>
              <w:spacing w:before="60" w:after="60"/>
              <w:jc w:val="center"/>
              <w:rPr>
                <w:rFonts w:ascii="Arial" w:eastAsia="Source Sans Pro" w:hAnsi="Arial" w:cs="Arial"/>
                <w:color w:val="000000" w:themeColor="text1"/>
                <w:sz w:val="16"/>
                <w:szCs w:val="16"/>
              </w:rPr>
            </w:pPr>
            <w:r w:rsidRPr="00305EA3">
              <w:rPr>
                <w:rFonts w:ascii="Arial" w:hAnsi="Arial" w:cs="Arial"/>
                <w:color w:val="000000" w:themeColor="text1"/>
                <w:sz w:val="16"/>
                <w:szCs w:val="16"/>
                <w:lang w:val="en-GB" w:eastAsia="en-GB"/>
              </w:rPr>
              <w:t>£</w:t>
            </w:r>
            <w:r w:rsidR="00305EA3" w:rsidRPr="00305EA3">
              <w:rPr>
                <w:rFonts w:ascii="Arial" w:hAnsi="Arial" w:cs="Arial"/>
                <w:color w:val="000000" w:themeColor="text1"/>
                <w:sz w:val="16"/>
                <w:szCs w:val="16"/>
                <w:lang w:val="en-GB" w:eastAsia="en-GB"/>
              </w:rPr>
              <w:t>40,470</w:t>
            </w:r>
          </w:p>
        </w:tc>
        <w:tc>
          <w:tcPr>
            <w:tcW w:w="1134" w:type="dxa"/>
            <w:tcBorders>
              <w:top w:val="nil"/>
              <w:left w:val="single" w:sz="8" w:space="0" w:color="000000"/>
              <w:bottom w:val="single" w:sz="4" w:space="0" w:color="auto"/>
              <w:right w:val="single" w:sz="8" w:space="0" w:color="000000"/>
            </w:tcBorders>
            <w:vAlign w:val="bottom"/>
          </w:tcPr>
          <w:p w14:paraId="19074B87" w14:textId="17CDAD04" w:rsidR="004160DC" w:rsidRPr="00305EA3" w:rsidRDefault="004160DC" w:rsidP="004160DC">
            <w:pPr>
              <w:pStyle w:val="TableParagraph"/>
              <w:spacing w:before="60" w:after="60"/>
              <w:jc w:val="center"/>
              <w:rPr>
                <w:rFonts w:ascii="Arial" w:eastAsia="Source Sans Pro" w:hAnsi="Arial" w:cs="Arial"/>
                <w:color w:val="000000" w:themeColor="text1"/>
                <w:sz w:val="16"/>
                <w:szCs w:val="16"/>
              </w:rPr>
            </w:pPr>
            <w:r w:rsidRPr="00305EA3">
              <w:rPr>
                <w:rFonts w:ascii="Arial" w:hAnsi="Arial" w:cs="Arial"/>
                <w:color w:val="000000" w:themeColor="text1"/>
                <w:sz w:val="16"/>
                <w:szCs w:val="16"/>
                <w:lang w:val="en-GB" w:eastAsia="en-GB"/>
              </w:rPr>
              <w:t>£</w:t>
            </w:r>
            <w:r w:rsidR="008E1BD6" w:rsidRPr="00305EA3">
              <w:rPr>
                <w:rFonts w:ascii="Arial" w:hAnsi="Arial" w:cs="Arial"/>
                <w:color w:val="000000" w:themeColor="text1"/>
                <w:sz w:val="16"/>
                <w:szCs w:val="16"/>
                <w:lang w:val="en-GB" w:eastAsia="en-GB"/>
              </w:rPr>
              <w:t>3</w:t>
            </w:r>
            <w:r w:rsidR="00305EA3" w:rsidRPr="00305EA3">
              <w:rPr>
                <w:rFonts w:ascii="Arial" w:hAnsi="Arial" w:cs="Arial"/>
                <w:color w:val="000000" w:themeColor="text1"/>
                <w:sz w:val="16"/>
                <w:szCs w:val="16"/>
                <w:lang w:val="en-GB" w:eastAsia="en-GB"/>
              </w:rPr>
              <w:t>8,960</w:t>
            </w:r>
          </w:p>
        </w:tc>
        <w:tc>
          <w:tcPr>
            <w:tcW w:w="1134" w:type="dxa"/>
            <w:tcBorders>
              <w:top w:val="nil"/>
              <w:left w:val="single" w:sz="8" w:space="0" w:color="000000"/>
              <w:bottom w:val="single" w:sz="4" w:space="0" w:color="auto"/>
              <w:right w:val="single" w:sz="8" w:space="0" w:color="000000"/>
            </w:tcBorders>
            <w:vAlign w:val="bottom"/>
          </w:tcPr>
          <w:p w14:paraId="4628E990" w14:textId="5C535D2A" w:rsidR="004160DC" w:rsidRPr="000149C4" w:rsidRDefault="004160DC" w:rsidP="004160DC">
            <w:pPr>
              <w:pStyle w:val="TableParagraph"/>
              <w:spacing w:before="60" w:after="60"/>
              <w:jc w:val="center"/>
              <w:rPr>
                <w:rFonts w:ascii="Arial" w:eastAsia="Source Sans Pro" w:hAnsi="Arial" w:cs="Arial"/>
                <w:color w:val="000000" w:themeColor="text1"/>
                <w:sz w:val="16"/>
                <w:szCs w:val="16"/>
              </w:rPr>
            </w:pPr>
            <w:r w:rsidRPr="000149C4">
              <w:rPr>
                <w:rFonts w:ascii="Arial" w:hAnsi="Arial" w:cs="Arial"/>
                <w:color w:val="000000" w:themeColor="text1"/>
                <w:sz w:val="16"/>
                <w:szCs w:val="16"/>
                <w:lang w:val="en-GB" w:eastAsia="en-GB"/>
              </w:rPr>
              <w:t>£</w:t>
            </w:r>
            <w:r w:rsidR="008E1BD6" w:rsidRPr="000149C4">
              <w:rPr>
                <w:rFonts w:ascii="Arial" w:hAnsi="Arial" w:cs="Arial"/>
                <w:color w:val="000000" w:themeColor="text1"/>
                <w:sz w:val="16"/>
                <w:szCs w:val="16"/>
                <w:lang w:val="en-GB" w:eastAsia="en-GB"/>
              </w:rPr>
              <w:t>53,790</w:t>
            </w:r>
          </w:p>
        </w:tc>
        <w:tc>
          <w:tcPr>
            <w:tcW w:w="1134" w:type="dxa"/>
            <w:tcBorders>
              <w:top w:val="nil"/>
              <w:left w:val="single" w:sz="8" w:space="0" w:color="000000"/>
              <w:bottom w:val="single" w:sz="4" w:space="0" w:color="auto"/>
              <w:right w:val="single" w:sz="8" w:space="0" w:color="000000"/>
            </w:tcBorders>
            <w:vAlign w:val="bottom"/>
          </w:tcPr>
          <w:p w14:paraId="736CFD00" w14:textId="280406F1" w:rsidR="004160DC" w:rsidRPr="000149C4" w:rsidRDefault="004160DC" w:rsidP="004160DC">
            <w:pPr>
              <w:pStyle w:val="TableParagraph"/>
              <w:spacing w:before="60" w:after="60"/>
              <w:jc w:val="center"/>
              <w:rPr>
                <w:rFonts w:ascii="Arial" w:eastAsia="Source Sans Pro" w:hAnsi="Arial" w:cs="Arial"/>
                <w:color w:val="000000" w:themeColor="text1"/>
                <w:sz w:val="16"/>
                <w:szCs w:val="16"/>
              </w:rPr>
            </w:pPr>
            <w:r w:rsidRPr="000149C4">
              <w:rPr>
                <w:rFonts w:ascii="Arial" w:hAnsi="Arial" w:cs="Arial"/>
                <w:color w:val="000000" w:themeColor="text1"/>
                <w:sz w:val="16"/>
                <w:szCs w:val="16"/>
                <w:lang w:val="en-GB" w:eastAsia="en-GB"/>
              </w:rPr>
              <w:t>£</w:t>
            </w:r>
            <w:r w:rsidR="000A711F" w:rsidRPr="000149C4">
              <w:rPr>
                <w:rFonts w:ascii="Arial" w:hAnsi="Arial" w:cs="Arial"/>
                <w:color w:val="000000" w:themeColor="text1"/>
                <w:sz w:val="16"/>
                <w:szCs w:val="16"/>
                <w:lang w:val="en-GB" w:eastAsia="en-GB"/>
              </w:rPr>
              <w:t>5</w:t>
            </w:r>
            <w:r w:rsidR="000149C4" w:rsidRPr="000149C4">
              <w:rPr>
                <w:rFonts w:ascii="Arial" w:hAnsi="Arial" w:cs="Arial"/>
                <w:color w:val="000000" w:themeColor="text1"/>
                <w:sz w:val="16"/>
                <w:szCs w:val="16"/>
                <w:lang w:val="en-GB" w:eastAsia="en-GB"/>
              </w:rPr>
              <w:t>2,050</w:t>
            </w:r>
          </w:p>
        </w:tc>
        <w:tc>
          <w:tcPr>
            <w:tcW w:w="1134" w:type="dxa"/>
            <w:tcBorders>
              <w:top w:val="nil"/>
              <w:left w:val="single" w:sz="8" w:space="0" w:color="000000"/>
              <w:bottom w:val="single" w:sz="4" w:space="0" w:color="auto"/>
              <w:right w:val="single" w:sz="8" w:space="0" w:color="000000"/>
            </w:tcBorders>
            <w:vAlign w:val="bottom"/>
          </w:tcPr>
          <w:p w14:paraId="29F4ECAB" w14:textId="4498FA53" w:rsidR="004160DC" w:rsidRPr="000149C4" w:rsidRDefault="004160DC" w:rsidP="004160DC">
            <w:pPr>
              <w:pStyle w:val="TableParagraph"/>
              <w:spacing w:before="60" w:after="60"/>
              <w:jc w:val="center"/>
              <w:rPr>
                <w:rFonts w:ascii="Arial" w:eastAsia="Source Sans Pro" w:hAnsi="Arial" w:cs="Arial"/>
                <w:color w:val="000000" w:themeColor="text1"/>
                <w:sz w:val="16"/>
                <w:szCs w:val="16"/>
              </w:rPr>
            </w:pPr>
            <w:r w:rsidRPr="000149C4">
              <w:rPr>
                <w:rFonts w:ascii="Arial" w:hAnsi="Arial" w:cs="Arial"/>
                <w:color w:val="000000" w:themeColor="text1"/>
                <w:sz w:val="16"/>
                <w:szCs w:val="16"/>
                <w:lang w:val="en-GB" w:eastAsia="en-GB"/>
              </w:rPr>
              <w:t>£</w:t>
            </w:r>
            <w:r w:rsidR="001B7F38" w:rsidRPr="000149C4">
              <w:rPr>
                <w:rFonts w:ascii="Arial" w:hAnsi="Arial" w:cs="Arial"/>
                <w:color w:val="000000" w:themeColor="text1"/>
                <w:sz w:val="16"/>
                <w:szCs w:val="16"/>
                <w:lang w:val="en-GB" w:eastAsia="en-GB"/>
              </w:rPr>
              <w:t>3</w:t>
            </w:r>
            <w:r w:rsidR="000149C4" w:rsidRPr="000149C4">
              <w:rPr>
                <w:rFonts w:ascii="Arial" w:hAnsi="Arial" w:cs="Arial"/>
                <w:color w:val="000000" w:themeColor="text1"/>
                <w:sz w:val="16"/>
                <w:szCs w:val="16"/>
                <w:lang w:val="en-GB" w:eastAsia="en-GB"/>
              </w:rPr>
              <w:t>3,330</w:t>
            </w:r>
          </w:p>
        </w:tc>
        <w:tc>
          <w:tcPr>
            <w:tcW w:w="1276" w:type="dxa"/>
            <w:tcBorders>
              <w:top w:val="nil"/>
              <w:left w:val="single" w:sz="8" w:space="0" w:color="000000"/>
              <w:bottom w:val="single" w:sz="4" w:space="0" w:color="auto"/>
              <w:right w:val="single" w:sz="8" w:space="0" w:color="000000"/>
            </w:tcBorders>
            <w:vAlign w:val="bottom"/>
          </w:tcPr>
          <w:p w14:paraId="75AAA5A8" w14:textId="1896BFD4" w:rsidR="004160DC" w:rsidRPr="000149C4" w:rsidRDefault="004160DC" w:rsidP="004160DC">
            <w:pPr>
              <w:pStyle w:val="TableParagraph"/>
              <w:spacing w:before="60" w:after="60"/>
              <w:jc w:val="center"/>
              <w:rPr>
                <w:rFonts w:ascii="Arial" w:eastAsia="Source Sans Pro" w:hAnsi="Arial" w:cs="Arial"/>
                <w:color w:val="000000" w:themeColor="text1"/>
                <w:sz w:val="16"/>
                <w:szCs w:val="16"/>
              </w:rPr>
            </w:pPr>
            <w:r w:rsidRPr="000149C4">
              <w:rPr>
                <w:rFonts w:ascii="Arial" w:hAnsi="Arial" w:cs="Arial"/>
                <w:color w:val="000000" w:themeColor="text1"/>
                <w:sz w:val="16"/>
                <w:szCs w:val="16"/>
                <w:lang w:val="en-GB" w:eastAsia="en-GB"/>
              </w:rPr>
              <w:t>£</w:t>
            </w:r>
            <w:r w:rsidR="000149C4" w:rsidRPr="000149C4">
              <w:rPr>
                <w:rFonts w:ascii="Arial" w:hAnsi="Arial" w:cs="Arial"/>
                <w:color w:val="000000" w:themeColor="text1"/>
                <w:sz w:val="16"/>
                <w:szCs w:val="16"/>
                <w:lang w:val="en-GB" w:eastAsia="en-GB"/>
              </w:rPr>
              <w:t>32,240</w:t>
            </w:r>
          </w:p>
        </w:tc>
      </w:tr>
    </w:tbl>
    <w:p w14:paraId="584D66F0" w14:textId="35349A33" w:rsidR="00BB3815" w:rsidRPr="009501A6" w:rsidRDefault="00127EB4" w:rsidP="00BB3815">
      <w:pPr>
        <w:spacing w:after="0" w:line="240" w:lineRule="auto"/>
        <w:ind w:left="0" w:firstLine="0"/>
        <w:rPr>
          <w:rFonts w:asciiTheme="majorHAnsi" w:hAnsiTheme="majorHAnsi" w:cstheme="majorHAnsi"/>
          <w:color w:val="000000" w:themeColor="text1"/>
          <w:sz w:val="16"/>
          <w:szCs w:val="16"/>
        </w:rPr>
      </w:pPr>
      <w:r w:rsidRPr="009501A6">
        <w:rPr>
          <w:rFonts w:asciiTheme="majorHAnsi" w:hAnsiTheme="majorHAnsi" w:cstheme="majorHAnsi"/>
          <w:color w:val="000000" w:themeColor="text1"/>
          <w:sz w:val="16"/>
          <w:szCs w:val="16"/>
        </w:rPr>
        <w:t xml:space="preserve">  Source: </w:t>
      </w:r>
      <w:r w:rsidR="00496BD9" w:rsidRPr="009501A6">
        <w:rPr>
          <w:rFonts w:asciiTheme="majorHAnsi" w:hAnsiTheme="majorHAnsi" w:cstheme="majorHAnsi"/>
          <w:color w:val="000000" w:themeColor="text1"/>
          <w:sz w:val="16"/>
          <w:szCs w:val="16"/>
        </w:rPr>
        <w:t>WTW</w:t>
      </w:r>
    </w:p>
    <w:p w14:paraId="4DA611A2" w14:textId="77777777" w:rsidR="006F6148" w:rsidRDefault="006F6148" w:rsidP="00C8437E">
      <w:pPr>
        <w:spacing w:after="0" w:line="240" w:lineRule="auto"/>
        <w:ind w:left="0" w:firstLine="0"/>
        <w:jc w:val="both"/>
        <w:rPr>
          <w:rFonts w:asciiTheme="majorHAnsi" w:hAnsiTheme="majorHAnsi" w:cstheme="majorHAnsi"/>
          <w:color w:val="000000" w:themeColor="text1"/>
          <w:sz w:val="20"/>
          <w:szCs w:val="20"/>
        </w:rPr>
      </w:pPr>
    </w:p>
    <w:p w14:paraId="3A5D1C18" w14:textId="77777777" w:rsidR="006F6148" w:rsidRDefault="006F6148" w:rsidP="00C8437E">
      <w:pPr>
        <w:spacing w:after="0" w:line="240" w:lineRule="auto"/>
        <w:ind w:left="0" w:firstLine="0"/>
        <w:jc w:val="both"/>
        <w:rPr>
          <w:rFonts w:asciiTheme="majorHAnsi" w:hAnsiTheme="majorHAnsi" w:cstheme="majorHAnsi"/>
          <w:color w:val="000000" w:themeColor="text1"/>
          <w:sz w:val="20"/>
          <w:szCs w:val="20"/>
        </w:rPr>
      </w:pPr>
    </w:p>
    <w:p w14:paraId="2C72E7F2" w14:textId="76FF473E" w:rsidR="00BB3815" w:rsidRPr="009501A6" w:rsidRDefault="004D4B6F" w:rsidP="00C8437E">
      <w:pPr>
        <w:spacing w:after="0" w:line="240" w:lineRule="auto"/>
        <w:ind w:left="0" w:firstLine="0"/>
        <w:jc w:val="both"/>
        <w:rPr>
          <w:rFonts w:asciiTheme="majorHAnsi" w:hAnsiTheme="majorHAnsi" w:cstheme="majorHAnsi"/>
          <w:color w:val="000000" w:themeColor="text1"/>
          <w:sz w:val="20"/>
          <w:szCs w:val="20"/>
        </w:rPr>
      </w:pPr>
      <w:r w:rsidRPr="009501A6">
        <w:rPr>
          <w:rFonts w:asciiTheme="majorHAnsi" w:hAnsiTheme="majorHAnsi" w:cstheme="majorHAnsi"/>
          <w:color w:val="000000" w:themeColor="text1"/>
          <w:sz w:val="20"/>
          <w:szCs w:val="20"/>
        </w:rPr>
        <w:lastRenderedPageBreak/>
        <w:t>Assumption</w:t>
      </w:r>
      <w:r w:rsidR="00BB3815" w:rsidRPr="009501A6">
        <w:rPr>
          <w:rFonts w:asciiTheme="majorHAnsi" w:hAnsiTheme="majorHAnsi" w:cstheme="majorHAnsi"/>
          <w:color w:val="000000" w:themeColor="text1"/>
          <w:sz w:val="20"/>
          <w:szCs w:val="20"/>
        </w:rPr>
        <w:t>s</w:t>
      </w:r>
      <w:r w:rsidR="006973A2" w:rsidRPr="009501A6">
        <w:rPr>
          <w:rFonts w:asciiTheme="majorHAnsi" w:hAnsiTheme="majorHAnsi" w:cstheme="majorHAnsi"/>
          <w:color w:val="000000" w:themeColor="text1"/>
          <w:sz w:val="20"/>
          <w:szCs w:val="20"/>
        </w:rPr>
        <w:t xml:space="preserve"> for Transfer Accounts in Prudential policy M028</w:t>
      </w:r>
    </w:p>
    <w:p w14:paraId="4F38F1D3" w14:textId="2CB269E9" w:rsidR="00BB3815" w:rsidRPr="009501A6" w:rsidRDefault="00170007" w:rsidP="00C8437E">
      <w:pPr>
        <w:pStyle w:val="ListParagraph"/>
        <w:numPr>
          <w:ilvl w:val="0"/>
          <w:numId w:val="28"/>
        </w:numPr>
        <w:spacing w:after="0" w:line="240" w:lineRule="auto"/>
        <w:jc w:val="both"/>
        <w:rPr>
          <w:rFonts w:asciiTheme="majorHAnsi" w:hAnsiTheme="majorHAnsi" w:cstheme="majorHAnsi"/>
          <w:color w:val="000000" w:themeColor="text1"/>
          <w:sz w:val="20"/>
          <w:szCs w:val="20"/>
        </w:rPr>
      </w:pPr>
      <w:r w:rsidRPr="009501A6">
        <w:rPr>
          <w:rFonts w:asciiTheme="majorHAnsi" w:hAnsiTheme="majorHAnsi" w:cstheme="majorHAnsi"/>
          <w:color w:val="000000" w:themeColor="text1"/>
          <w:sz w:val="20"/>
          <w:szCs w:val="20"/>
        </w:rPr>
        <w:t>T</w:t>
      </w:r>
      <w:r w:rsidR="00BB3815" w:rsidRPr="009501A6">
        <w:rPr>
          <w:rFonts w:asciiTheme="majorHAnsi" w:hAnsiTheme="majorHAnsi" w:cstheme="majorHAnsi"/>
          <w:color w:val="000000" w:themeColor="text1"/>
          <w:sz w:val="20"/>
          <w:szCs w:val="20"/>
        </w:rPr>
        <w:t xml:space="preserve">he following assumptions </w:t>
      </w:r>
      <w:r w:rsidRPr="009501A6">
        <w:rPr>
          <w:rFonts w:asciiTheme="majorHAnsi" w:hAnsiTheme="majorHAnsi" w:cstheme="majorHAnsi"/>
          <w:color w:val="000000" w:themeColor="text1"/>
          <w:sz w:val="20"/>
          <w:szCs w:val="20"/>
        </w:rPr>
        <w:t xml:space="preserve">have been used </w:t>
      </w:r>
      <w:r w:rsidR="00BB3815" w:rsidRPr="009501A6">
        <w:rPr>
          <w:rFonts w:asciiTheme="majorHAnsi" w:hAnsiTheme="majorHAnsi" w:cstheme="majorHAnsi"/>
          <w:color w:val="000000" w:themeColor="text1"/>
          <w:sz w:val="20"/>
          <w:szCs w:val="20"/>
        </w:rPr>
        <w:t>when producing the above illustrations:</w:t>
      </w:r>
    </w:p>
    <w:p w14:paraId="56A20D5C" w14:textId="1477294B" w:rsidR="00BB3815" w:rsidRPr="009501A6" w:rsidRDefault="00BB3815" w:rsidP="00C8437E">
      <w:pPr>
        <w:pStyle w:val="ListParagraph"/>
        <w:numPr>
          <w:ilvl w:val="1"/>
          <w:numId w:val="28"/>
        </w:numPr>
        <w:spacing w:after="0" w:line="240" w:lineRule="auto"/>
        <w:jc w:val="both"/>
        <w:rPr>
          <w:rFonts w:asciiTheme="majorHAnsi" w:hAnsiTheme="majorHAnsi" w:cstheme="majorHAnsi"/>
          <w:color w:val="000000" w:themeColor="text1"/>
          <w:sz w:val="20"/>
          <w:szCs w:val="20"/>
        </w:rPr>
      </w:pPr>
      <w:r w:rsidRPr="009501A6">
        <w:rPr>
          <w:rFonts w:asciiTheme="majorHAnsi" w:hAnsiTheme="majorHAnsi" w:cstheme="majorHAnsi"/>
          <w:color w:val="000000" w:themeColor="text1"/>
          <w:sz w:val="20"/>
          <w:szCs w:val="20"/>
        </w:rPr>
        <w:t>A starting pot of £</w:t>
      </w:r>
      <w:r w:rsidR="00E66D70" w:rsidRPr="009501A6">
        <w:rPr>
          <w:rFonts w:asciiTheme="majorHAnsi" w:hAnsiTheme="majorHAnsi" w:cstheme="majorHAnsi"/>
          <w:color w:val="000000" w:themeColor="text1"/>
          <w:sz w:val="20"/>
          <w:szCs w:val="20"/>
        </w:rPr>
        <w:t>35</w:t>
      </w:r>
      <w:r w:rsidRPr="009501A6">
        <w:rPr>
          <w:rFonts w:asciiTheme="majorHAnsi" w:hAnsiTheme="majorHAnsi" w:cstheme="majorHAnsi"/>
          <w:color w:val="000000" w:themeColor="text1"/>
          <w:sz w:val="20"/>
          <w:szCs w:val="20"/>
        </w:rPr>
        <w:t>,000, which is re</w:t>
      </w:r>
      <w:r w:rsidR="00170007" w:rsidRPr="009501A6">
        <w:rPr>
          <w:rFonts w:asciiTheme="majorHAnsi" w:hAnsiTheme="majorHAnsi" w:cstheme="majorHAnsi"/>
          <w:color w:val="000000" w:themeColor="text1"/>
          <w:sz w:val="20"/>
          <w:szCs w:val="20"/>
        </w:rPr>
        <w:t>presentative</w:t>
      </w:r>
      <w:r w:rsidR="004C1F3D" w:rsidRPr="009501A6">
        <w:rPr>
          <w:rFonts w:asciiTheme="majorHAnsi" w:hAnsiTheme="majorHAnsi" w:cstheme="majorHAnsi"/>
          <w:color w:val="000000" w:themeColor="text1"/>
          <w:sz w:val="20"/>
          <w:szCs w:val="20"/>
        </w:rPr>
        <w:t xml:space="preserve"> of </w:t>
      </w:r>
      <w:r w:rsidR="00B057D6" w:rsidRPr="009501A6">
        <w:rPr>
          <w:rFonts w:asciiTheme="majorHAnsi" w:hAnsiTheme="majorHAnsi" w:cstheme="majorHAnsi"/>
          <w:color w:val="000000" w:themeColor="text1"/>
          <w:sz w:val="20"/>
          <w:szCs w:val="20"/>
        </w:rPr>
        <w:t xml:space="preserve">the fund values for </w:t>
      </w:r>
      <w:r w:rsidR="004C1F3D" w:rsidRPr="009501A6">
        <w:rPr>
          <w:rFonts w:asciiTheme="majorHAnsi" w:hAnsiTheme="majorHAnsi" w:cstheme="majorHAnsi"/>
          <w:color w:val="000000" w:themeColor="text1"/>
          <w:sz w:val="20"/>
          <w:szCs w:val="20"/>
        </w:rPr>
        <w:t>members with a Transfer Account</w:t>
      </w:r>
      <w:r w:rsidR="00170007" w:rsidRPr="009501A6">
        <w:rPr>
          <w:rFonts w:asciiTheme="majorHAnsi" w:hAnsiTheme="majorHAnsi" w:cstheme="majorHAnsi"/>
          <w:color w:val="000000" w:themeColor="text1"/>
          <w:sz w:val="20"/>
          <w:szCs w:val="20"/>
        </w:rPr>
        <w:t xml:space="preserve"> invested in Prudential policy M028</w:t>
      </w:r>
      <w:r w:rsidR="007C2AA3" w:rsidRPr="009501A6">
        <w:rPr>
          <w:rFonts w:asciiTheme="majorHAnsi" w:hAnsiTheme="majorHAnsi" w:cstheme="majorHAnsi"/>
          <w:color w:val="000000" w:themeColor="text1"/>
          <w:sz w:val="20"/>
          <w:szCs w:val="20"/>
        </w:rPr>
        <w:t>.</w:t>
      </w:r>
    </w:p>
    <w:p w14:paraId="21E756DE" w14:textId="237A517E" w:rsidR="00BB3815" w:rsidRPr="009501A6" w:rsidRDefault="00BB3815" w:rsidP="00C8437E">
      <w:pPr>
        <w:pStyle w:val="ListParagraph"/>
        <w:numPr>
          <w:ilvl w:val="1"/>
          <w:numId w:val="28"/>
        </w:numPr>
        <w:spacing w:after="0" w:line="240" w:lineRule="auto"/>
        <w:jc w:val="both"/>
        <w:rPr>
          <w:rFonts w:asciiTheme="majorHAnsi" w:hAnsiTheme="majorHAnsi" w:cstheme="majorHAnsi"/>
          <w:color w:val="000000" w:themeColor="text1"/>
          <w:sz w:val="20"/>
          <w:szCs w:val="20"/>
        </w:rPr>
      </w:pPr>
      <w:r w:rsidRPr="009501A6">
        <w:rPr>
          <w:rFonts w:asciiTheme="majorHAnsi" w:hAnsiTheme="majorHAnsi" w:cstheme="majorHAnsi"/>
          <w:color w:val="000000" w:themeColor="text1"/>
          <w:sz w:val="20"/>
          <w:szCs w:val="20"/>
        </w:rPr>
        <w:t>Investment growth rates and costs and charges as per the table above</w:t>
      </w:r>
      <w:r w:rsidR="00935A08" w:rsidRPr="009501A6">
        <w:rPr>
          <w:rFonts w:asciiTheme="majorHAnsi" w:hAnsiTheme="majorHAnsi" w:cstheme="majorHAnsi"/>
          <w:color w:val="000000" w:themeColor="text1"/>
          <w:sz w:val="20"/>
          <w:szCs w:val="20"/>
        </w:rPr>
        <w:t xml:space="preserve"> (transaction costs have been averaged over the previous </w:t>
      </w:r>
      <w:r w:rsidR="00A57A35" w:rsidRPr="009501A6">
        <w:rPr>
          <w:rFonts w:asciiTheme="majorHAnsi" w:hAnsiTheme="majorHAnsi" w:cstheme="majorHAnsi"/>
          <w:color w:val="000000" w:themeColor="text1"/>
          <w:sz w:val="20"/>
          <w:szCs w:val="20"/>
        </w:rPr>
        <w:t>f</w:t>
      </w:r>
      <w:r w:rsidR="00E66D70" w:rsidRPr="009501A6">
        <w:rPr>
          <w:rFonts w:asciiTheme="majorHAnsi" w:hAnsiTheme="majorHAnsi" w:cstheme="majorHAnsi"/>
          <w:color w:val="000000" w:themeColor="text1"/>
          <w:sz w:val="20"/>
          <w:szCs w:val="20"/>
        </w:rPr>
        <w:t>ive</w:t>
      </w:r>
      <w:r w:rsidR="00935A08" w:rsidRPr="009501A6">
        <w:rPr>
          <w:rFonts w:asciiTheme="majorHAnsi" w:hAnsiTheme="majorHAnsi" w:cstheme="majorHAnsi"/>
          <w:color w:val="000000" w:themeColor="text1"/>
          <w:sz w:val="20"/>
          <w:szCs w:val="20"/>
        </w:rPr>
        <w:t xml:space="preserve"> Scheme years)</w:t>
      </w:r>
      <w:r w:rsidRPr="009501A6">
        <w:rPr>
          <w:rFonts w:asciiTheme="majorHAnsi" w:hAnsiTheme="majorHAnsi" w:cstheme="majorHAnsi"/>
          <w:color w:val="000000" w:themeColor="text1"/>
          <w:sz w:val="20"/>
          <w:szCs w:val="20"/>
        </w:rPr>
        <w:t>.</w:t>
      </w:r>
    </w:p>
    <w:p w14:paraId="42FC5153" w14:textId="77777777" w:rsidR="00BB3815" w:rsidRPr="009501A6" w:rsidRDefault="00BB3815" w:rsidP="00C8437E">
      <w:pPr>
        <w:pStyle w:val="ListParagraph"/>
        <w:numPr>
          <w:ilvl w:val="0"/>
          <w:numId w:val="28"/>
        </w:numPr>
        <w:spacing w:after="0" w:line="240" w:lineRule="auto"/>
        <w:jc w:val="both"/>
        <w:rPr>
          <w:rFonts w:asciiTheme="majorHAnsi" w:hAnsiTheme="majorHAnsi" w:cstheme="majorHAnsi"/>
          <w:color w:val="000000" w:themeColor="text1"/>
          <w:sz w:val="20"/>
          <w:szCs w:val="20"/>
        </w:rPr>
      </w:pPr>
      <w:r w:rsidRPr="009501A6">
        <w:rPr>
          <w:rFonts w:asciiTheme="majorHAnsi" w:hAnsiTheme="majorHAnsi" w:cstheme="majorHAnsi"/>
          <w:color w:val="000000" w:themeColor="text1"/>
          <w:sz w:val="20"/>
          <w:szCs w:val="20"/>
        </w:rPr>
        <w:t>Projected values are shown in today’s terms with future inflation assumed to be 2.5% p.a.</w:t>
      </w:r>
    </w:p>
    <w:p w14:paraId="64C8AC5A" w14:textId="77777777" w:rsidR="00BB3815" w:rsidRPr="009501A6" w:rsidRDefault="00BB3815" w:rsidP="00C8437E">
      <w:pPr>
        <w:pStyle w:val="ListParagraph"/>
        <w:numPr>
          <w:ilvl w:val="0"/>
          <w:numId w:val="28"/>
        </w:numPr>
        <w:spacing w:after="0" w:line="240" w:lineRule="auto"/>
        <w:jc w:val="both"/>
        <w:rPr>
          <w:rFonts w:asciiTheme="majorHAnsi" w:hAnsiTheme="majorHAnsi" w:cstheme="majorHAnsi"/>
          <w:color w:val="000000" w:themeColor="text1"/>
          <w:sz w:val="20"/>
          <w:szCs w:val="20"/>
        </w:rPr>
      </w:pPr>
      <w:r w:rsidRPr="009501A6">
        <w:rPr>
          <w:rFonts w:asciiTheme="majorHAnsi" w:hAnsiTheme="majorHAnsi" w:cstheme="majorHAnsi"/>
          <w:color w:val="000000" w:themeColor="text1"/>
          <w:sz w:val="20"/>
          <w:szCs w:val="20"/>
        </w:rPr>
        <w:t>Values shown are estimates and are not guaranteed.</w:t>
      </w:r>
    </w:p>
    <w:p w14:paraId="227AB992" w14:textId="5FD50E1E" w:rsidR="003A550B" w:rsidRPr="009501A6" w:rsidRDefault="003A550B" w:rsidP="00C8437E">
      <w:pPr>
        <w:spacing w:after="0" w:line="240" w:lineRule="auto"/>
        <w:ind w:left="0" w:firstLine="0"/>
        <w:jc w:val="both"/>
        <w:rPr>
          <w:rFonts w:asciiTheme="majorHAnsi" w:hAnsiTheme="majorHAnsi" w:cstheme="majorHAnsi"/>
          <w:color w:val="000000" w:themeColor="text1"/>
          <w:sz w:val="20"/>
          <w:szCs w:val="20"/>
        </w:rPr>
      </w:pPr>
    </w:p>
    <w:sectPr w:rsidR="003A550B" w:rsidRPr="009501A6" w:rsidSect="00610077">
      <w:headerReference w:type="default" r:id="rId16"/>
      <w:footerReference w:type="default" r:id="rId17"/>
      <w:footnotePr>
        <w:numRestart w:val="eachPage"/>
      </w:footnotePr>
      <w:pgSz w:w="11907" w:h="16839" w:code="9"/>
      <w:pgMar w:top="1797" w:right="1037" w:bottom="1219" w:left="1502" w:header="1077" w:footer="53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4F9E4" w14:textId="77777777" w:rsidR="008035E6" w:rsidRDefault="008035E6">
      <w:r>
        <w:separator/>
      </w:r>
    </w:p>
  </w:endnote>
  <w:endnote w:type="continuationSeparator" w:id="0">
    <w:p w14:paraId="3B549DEE" w14:textId="77777777" w:rsidR="008035E6" w:rsidRDefault="008035E6">
      <w:r>
        <w:continuationSeparator/>
      </w:r>
    </w:p>
  </w:endnote>
  <w:endnote w:type="continuationNotice" w:id="1">
    <w:p w14:paraId="5D445030" w14:textId="77777777" w:rsidR="008035E6" w:rsidRDefault="008035E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E7C4" w14:textId="40FEE81F" w:rsidR="00090281" w:rsidRDefault="00090281" w:rsidP="000239B2">
    <w:pPr>
      <w:pStyle w:val="FooterA4Portrait"/>
      <w:spacing w:after="0"/>
      <w:jc w:val="right"/>
    </w:pPr>
    <w:r>
      <w:tab/>
    </w:r>
    <w:fldSimple w:instr=" DOCPROPERTY &quot;Page&quot; \* MERGEFORMAT ">
      <w:r w:rsidR="00D97833">
        <w:t>Page</w:t>
      </w:r>
    </w:fldSimple>
    <w:r>
      <w:t xml:space="preserve"> </w:t>
    </w:r>
    <w:r>
      <w:fldChar w:fldCharType="begin"/>
    </w:r>
    <w:r>
      <w:instrText xml:space="preserve"> PAGE   \* MERGEFORMAT </w:instrText>
    </w:r>
    <w:r>
      <w:fldChar w:fldCharType="separate"/>
    </w:r>
    <w:r>
      <w:rPr>
        <w:noProof/>
      </w:rPr>
      <w:t>1</w:t>
    </w:r>
    <w:r>
      <w:rPr>
        <w:noProof/>
      </w:rPr>
      <w:fldChar w:fldCharType="end"/>
    </w:r>
    <w:r>
      <w:t xml:space="preserve"> </w:t>
    </w:r>
    <w:fldSimple w:instr=" DOCPROPERTY &quot;of&quot; \* MERGEFORMAT ">
      <w:r w:rsidR="00D97833">
        <w:t>of</w:t>
      </w:r>
    </w:fldSimple>
    <w:r>
      <w:t xml:space="preserve"> </w:t>
    </w:r>
    <w:fldSimple w:instr=" NUMPAGES   \* MERGEFORMAT ">
      <w:r>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92342" w14:textId="77777777" w:rsidR="008035E6" w:rsidRDefault="008035E6">
      <w:r>
        <w:separator/>
      </w:r>
    </w:p>
  </w:footnote>
  <w:footnote w:type="continuationSeparator" w:id="0">
    <w:p w14:paraId="37799FA7" w14:textId="77777777" w:rsidR="008035E6" w:rsidRDefault="008035E6">
      <w:r>
        <w:continuationSeparator/>
      </w:r>
    </w:p>
  </w:footnote>
  <w:footnote w:type="continuationNotice" w:id="1">
    <w:p w14:paraId="10D585F9" w14:textId="77777777" w:rsidR="008035E6" w:rsidRDefault="008035E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E7C1" w14:textId="4A7C6806" w:rsidR="00090281" w:rsidRPr="00D620AF" w:rsidRDefault="00090281" w:rsidP="00CF590F">
    <w:pPr>
      <w:pStyle w:val="HeaderA4Portrait"/>
      <w:spacing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2D606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BDE0E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A1C38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88495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7807A8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AE30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B080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885A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6F87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58ABF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85BAA"/>
    <w:multiLevelType w:val="multilevel"/>
    <w:tmpl w:val="D6A87CB8"/>
    <w:name w:val="HeadingListTemplate10"/>
    <w:lvl w:ilvl="0">
      <w:start w:val="1"/>
      <w:numFmt w:val="decimal"/>
      <w:lvlRestart w:val="0"/>
      <w:suff w:val="nothing"/>
      <w:lvlText w:val="Section %1"/>
      <w:lvlJc w:val="left"/>
      <w:pPr>
        <w:tabs>
          <w:tab w:val="num" w:pos="0"/>
        </w:tabs>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0"/>
      <w:lvlText w:val=""/>
      <w:lvlJc w:val="left"/>
      <w:pPr>
        <w:tabs>
          <w:tab w:val="num" w:pos="0"/>
        </w:tabs>
        <w:ind w:left="0" w:firstLine="0"/>
      </w:pPr>
      <w:rPr>
        <w:rFonts w:cs="Times New Roman" w:hint="default"/>
      </w:rPr>
    </w:lvl>
    <w:lvl w:ilvl="4">
      <w:start w:val="1"/>
      <w:numFmt w:val="decimal"/>
      <w:lvlText w:val="%1.%5"/>
      <w:lvlJc w:val="left"/>
      <w:pPr>
        <w:tabs>
          <w:tab w:val="num" w:pos="680"/>
        </w:tabs>
        <w:ind w:left="680" w:hanging="680"/>
      </w:pPr>
      <w:rPr>
        <w:rFonts w:cs="Times New Roman" w:hint="default"/>
      </w:rPr>
    </w:lvl>
    <w:lvl w:ilvl="5">
      <w:start w:val="1"/>
      <w:numFmt w:val="decimal"/>
      <w:lvlText w:val="%1.%5.%6"/>
      <w:lvlJc w:val="left"/>
      <w:pPr>
        <w:tabs>
          <w:tab w:val="num" w:pos="1361"/>
        </w:tabs>
        <w:ind w:left="1361" w:hanging="681"/>
      </w:pPr>
      <w:rPr>
        <w:rFonts w:cs="Times New Roman" w:hint="default"/>
      </w:rPr>
    </w:lvl>
    <w:lvl w:ilvl="6">
      <w:start w:val="1"/>
      <w:numFmt w:val="upperLetter"/>
      <w:lvlRestart w:val="0"/>
      <w:suff w:val="nothing"/>
      <w:lvlText w:val="Appendix %7"/>
      <w:lvlJc w:val="left"/>
      <w:pPr>
        <w:tabs>
          <w:tab w:val="num" w:pos="0"/>
        </w:tabs>
        <w:ind w:left="0" w:firstLine="0"/>
      </w:pPr>
      <w:rPr>
        <w:rFonts w:cs="Times New Roman" w:hint="default"/>
      </w:rPr>
    </w:lvl>
    <w:lvl w:ilvl="7">
      <w:start w:val="1"/>
      <w:numFmt w:val="decimal"/>
      <w:lvlText w:val="%7.%8"/>
      <w:lvlJc w:val="left"/>
      <w:pPr>
        <w:tabs>
          <w:tab w:val="num" w:pos="680"/>
        </w:tabs>
        <w:ind w:left="680" w:hanging="680"/>
      </w:pPr>
      <w:rPr>
        <w:rFonts w:cs="Times New Roman" w:hint="default"/>
      </w:rPr>
    </w:lvl>
    <w:lvl w:ilvl="8">
      <w:start w:val="1"/>
      <w:numFmt w:val="decimal"/>
      <w:lvlRestart w:val="0"/>
      <w:lvlText w:val=""/>
      <w:lvlJc w:val="left"/>
      <w:pPr>
        <w:tabs>
          <w:tab w:val="num" w:pos="0"/>
        </w:tabs>
        <w:ind w:left="0" w:firstLine="0"/>
      </w:pPr>
      <w:rPr>
        <w:rFonts w:cs="Times New Roman" w:hint="default"/>
      </w:rPr>
    </w:lvl>
  </w:abstractNum>
  <w:abstractNum w:abstractNumId="11" w15:restartNumberingAfterBreak="0">
    <w:nsid w:val="068679A9"/>
    <w:multiLevelType w:val="multilevel"/>
    <w:tmpl w:val="61BCF372"/>
    <w:name w:val="NumberListTemplate"/>
    <w:lvl w:ilvl="0">
      <w:start w:val="1"/>
      <w:numFmt w:val="decimal"/>
      <w:suff w:val="nothing"/>
      <w:lvlText w:val=""/>
      <w:lvlJc w:val="left"/>
      <w:pPr>
        <w:tabs>
          <w:tab w:val="num" w:pos="0"/>
        </w:tabs>
        <w:ind w:left="0" w:firstLine="0"/>
      </w:pPr>
    </w:lvl>
    <w:lvl w:ilvl="1">
      <w:start w:val="1"/>
      <w:numFmt w:val="decimal"/>
      <w:pStyle w:val="NumberedList1"/>
      <w:lvlText w:val="%2"/>
      <w:lvlJc w:val="left"/>
      <w:pPr>
        <w:tabs>
          <w:tab w:val="num" w:pos="454"/>
        </w:tabs>
        <w:ind w:left="454" w:hanging="454"/>
      </w:pPr>
      <w:rPr>
        <w:b w:val="0"/>
        <w:i w:val="0"/>
        <w:color w:val="000000"/>
      </w:rPr>
    </w:lvl>
    <w:lvl w:ilvl="2">
      <w:start w:val="1"/>
      <w:numFmt w:val="lowerLetter"/>
      <w:pStyle w:val="NumberedList2"/>
      <w:lvlText w:val="%3"/>
      <w:lvlJc w:val="left"/>
      <w:pPr>
        <w:tabs>
          <w:tab w:val="num" w:pos="907"/>
        </w:tabs>
        <w:ind w:left="907" w:hanging="453"/>
      </w:pPr>
      <w:rPr>
        <w:b w:val="0"/>
        <w:i w:val="0"/>
        <w:color w:val="000000"/>
      </w:rPr>
    </w:lvl>
    <w:lvl w:ilvl="3">
      <w:start w:val="1"/>
      <w:numFmt w:val="lowerRoman"/>
      <w:pStyle w:val="NumberedList3"/>
      <w:lvlText w:val="%4"/>
      <w:lvlJc w:val="left"/>
      <w:pPr>
        <w:tabs>
          <w:tab w:val="num" w:pos="1361"/>
        </w:tabs>
        <w:ind w:left="1361" w:hanging="454"/>
      </w:pPr>
      <w:rPr>
        <w:b w:val="0"/>
        <w:i w:val="0"/>
        <w:color w:val="000000"/>
      </w:rPr>
    </w:lvl>
    <w:lvl w:ilvl="4">
      <w:start w:val="1"/>
      <w:numFmt w:val="upperLetter"/>
      <w:pStyle w:val="NumberedList4"/>
      <w:lvlText w:val="%5"/>
      <w:lvlJc w:val="left"/>
      <w:pPr>
        <w:tabs>
          <w:tab w:val="num" w:pos="454"/>
        </w:tabs>
        <w:ind w:left="454" w:hanging="454"/>
      </w:pPr>
      <w:rPr>
        <w:b w:val="0"/>
        <w:i w:val="0"/>
        <w:color w:val="000000"/>
      </w:rPr>
    </w:lvl>
    <w:lvl w:ilvl="5">
      <w:start w:val="1"/>
      <w:numFmt w:val="decimal"/>
      <w:lvlRestart w:val="0"/>
      <w:pStyle w:val="NumberedList5"/>
      <w:lvlText w:val=""/>
      <w:lvlJc w:val="left"/>
      <w:pPr>
        <w:tabs>
          <w:tab w:val="num" w:pos="0"/>
        </w:tabs>
        <w:ind w:left="0" w:firstLine="0"/>
      </w:pPr>
      <w:rPr>
        <w:b w:val="0"/>
        <w:i w:val="0"/>
        <w:color w:val="000000"/>
      </w:rPr>
    </w:lvl>
    <w:lvl w:ilvl="6">
      <w:start w:val="1"/>
      <w:numFmt w:val="decimal"/>
      <w:lvlRestart w:val="0"/>
      <w:pStyle w:val="NumberedList6"/>
      <w:lvlText w:val=""/>
      <w:lvlJc w:val="left"/>
      <w:pPr>
        <w:tabs>
          <w:tab w:val="num" w:pos="0"/>
        </w:tabs>
        <w:ind w:left="0" w:firstLine="0"/>
      </w:pPr>
      <w:rPr>
        <w:b w:val="0"/>
        <w:i w:val="0"/>
        <w:color w:val="000000"/>
      </w:rPr>
    </w:lvl>
    <w:lvl w:ilvl="7">
      <w:start w:val="1"/>
      <w:numFmt w:val="decimal"/>
      <w:lvlRestart w:val="0"/>
      <w:pStyle w:val="NumberedList7"/>
      <w:lvlText w:val=""/>
      <w:lvlJc w:val="left"/>
      <w:pPr>
        <w:tabs>
          <w:tab w:val="num" w:pos="0"/>
        </w:tabs>
        <w:ind w:left="0" w:firstLine="0"/>
      </w:pPr>
      <w:rPr>
        <w:b w:val="0"/>
        <w:i w:val="0"/>
        <w:color w:val="000000"/>
      </w:rPr>
    </w:lvl>
    <w:lvl w:ilvl="8">
      <w:start w:val="1"/>
      <w:numFmt w:val="decimal"/>
      <w:lvlRestart w:val="0"/>
      <w:pStyle w:val="NumberedList8"/>
      <w:lvlText w:val=""/>
      <w:lvlJc w:val="left"/>
      <w:pPr>
        <w:tabs>
          <w:tab w:val="num" w:pos="0"/>
        </w:tabs>
        <w:ind w:left="0" w:firstLine="0"/>
      </w:pPr>
      <w:rPr>
        <w:b w:val="0"/>
        <w:i w:val="0"/>
        <w:color w:val="000000"/>
      </w:rPr>
    </w:lvl>
  </w:abstractNum>
  <w:abstractNum w:abstractNumId="12" w15:restartNumberingAfterBreak="0">
    <w:nsid w:val="08BD6358"/>
    <w:multiLevelType w:val="multilevel"/>
    <w:tmpl w:val="BB983B36"/>
    <w:name w:val="HeadingListTemplate8"/>
    <w:lvl w:ilvl="0">
      <w:start w:val="1"/>
      <w:numFmt w:val="decimal"/>
      <w:lvlRestart w:val="0"/>
      <w:suff w:val="nothing"/>
      <w:lvlText w:val="Section %1"/>
      <w:lvlJc w:val="left"/>
      <w:pPr>
        <w:tabs>
          <w:tab w:val="num" w:pos="0"/>
        </w:tabs>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0"/>
      <w:lvlText w:val=""/>
      <w:lvlJc w:val="left"/>
      <w:pPr>
        <w:tabs>
          <w:tab w:val="num" w:pos="0"/>
        </w:tabs>
        <w:ind w:left="0" w:firstLine="0"/>
      </w:pPr>
      <w:rPr>
        <w:rFonts w:cs="Times New Roman" w:hint="default"/>
      </w:rPr>
    </w:lvl>
    <w:lvl w:ilvl="4">
      <w:start w:val="1"/>
      <w:numFmt w:val="decimal"/>
      <w:lvlText w:val="%1.%5"/>
      <w:lvlJc w:val="left"/>
      <w:pPr>
        <w:tabs>
          <w:tab w:val="num" w:pos="680"/>
        </w:tabs>
        <w:ind w:left="680" w:hanging="680"/>
      </w:pPr>
      <w:rPr>
        <w:rFonts w:cs="Times New Roman" w:hint="default"/>
      </w:rPr>
    </w:lvl>
    <w:lvl w:ilvl="5">
      <w:start w:val="1"/>
      <w:numFmt w:val="decimal"/>
      <w:lvlText w:val="%1.%5.%6"/>
      <w:lvlJc w:val="left"/>
      <w:pPr>
        <w:tabs>
          <w:tab w:val="num" w:pos="1361"/>
        </w:tabs>
        <w:ind w:left="1361" w:hanging="681"/>
      </w:pPr>
      <w:rPr>
        <w:rFonts w:cs="Times New Roman" w:hint="default"/>
      </w:rPr>
    </w:lvl>
    <w:lvl w:ilvl="6">
      <w:start w:val="1"/>
      <w:numFmt w:val="upperLetter"/>
      <w:lvlRestart w:val="0"/>
      <w:suff w:val="nothing"/>
      <w:lvlText w:val="Appendix %7"/>
      <w:lvlJc w:val="left"/>
      <w:pPr>
        <w:tabs>
          <w:tab w:val="num" w:pos="0"/>
        </w:tabs>
        <w:ind w:left="0" w:firstLine="0"/>
      </w:pPr>
      <w:rPr>
        <w:rFonts w:cs="Times New Roman" w:hint="default"/>
      </w:rPr>
    </w:lvl>
    <w:lvl w:ilvl="7">
      <w:start w:val="1"/>
      <w:numFmt w:val="decimal"/>
      <w:lvlText w:val="%7.%8"/>
      <w:lvlJc w:val="left"/>
      <w:pPr>
        <w:tabs>
          <w:tab w:val="num" w:pos="680"/>
        </w:tabs>
        <w:ind w:left="680" w:hanging="680"/>
      </w:pPr>
      <w:rPr>
        <w:rFonts w:cs="Times New Roman" w:hint="default"/>
      </w:rPr>
    </w:lvl>
    <w:lvl w:ilvl="8">
      <w:start w:val="1"/>
      <w:numFmt w:val="decimal"/>
      <w:lvlRestart w:val="0"/>
      <w:lvlText w:val=""/>
      <w:lvlJc w:val="left"/>
      <w:pPr>
        <w:tabs>
          <w:tab w:val="num" w:pos="0"/>
        </w:tabs>
        <w:ind w:left="0" w:firstLine="0"/>
      </w:pPr>
      <w:rPr>
        <w:rFonts w:cs="Times New Roman" w:hint="default"/>
      </w:rPr>
    </w:lvl>
  </w:abstractNum>
  <w:abstractNum w:abstractNumId="13" w15:restartNumberingAfterBreak="0">
    <w:nsid w:val="094B3F35"/>
    <w:multiLevelType w:val="multilevel"/>
    <w:tmpl w:val="BAC83D26"/>
    <w:name w:val="zxcvzcx"/>
    <w:lvl w:ilvl="0">
      <w:start w:val="1"/>
      <w:numFmt w:val="decimal"/>
      <w:lvlText w:val="%1■"/>
      <w:lvlJc w:val="left"/>
      <w:pPr>
        <w:tabs>
          <w:tab w:val="num" w:pos="2040"/>
        </w:tabs>
        <w:ind w:left="2040" w:hanging="340"/>
      </w:pPr>
      <w:rPr>
        <w:rFonts w:ascii="Arial" w:hAnsi="Arial" w:cs="Arial" w:hint="default"/>
        <w:color w:val="021858"/>
      </w:rPr>
    </w:lvl>
    <w:lvl w:ilvl="1">
      <w:start w:val="1"/>
      <w:numFmt w:val="lowerLetter"/>
      <w:lvlText w:val="%2–"/>
      <w:lvlJc w:val="left"/>
      <w:pPr>
        <w:tabs>
          <w:tab w:val="num" w:pos="2380"/>
        </w:tabs>
        <w:ind w:left="2380" w:hanging="340"/>
      </w:pPr>
      <w:rPr>
        <w:rFonts w:ascii="Arial" w:hAnsi="Arial" w:cs="Arial" w:hint="default"/>
      </w:rPr>
    </w:lvl>
    <w:lvl w:ilvl="2">
      <w:start w:val="1"/>
      <w:numFmt w:val="lowerRoman"/>
      <w:lvlText w:val="%3■"/>
      <w:lvlJc w:val="left"/>
      <w:pPr>
        <w:tabs>
          <w:tab w:val="num" w:pos="2720"/>
        </w:tabs>
        <w:ind w:left="2720" w:hanging="340"/>
      </w:pPr>
      <w:rPr>
        <w:rFonts w:ascii="Arial" w:hAnsi="Arial" w:cs="Arial" w:hint="default"/>
        <w:color w:val="021858"/>
      </w:rPr>
    </w:lvl>
    <w:lvl w:ilvl="3">
      <w:start w:val="1"/>
      <w:numFmt w:val="decimal"/>
      <w:lvlText w:val="%4–"/>
      <w:lvlJc w:val="left"/>
      <w:pPr>
        <w:tabs>
          <w:tab w:val="num" w:pos="3060"/>
        </w:tabs>
        <w:ind w:left="3060" w:hanging="340"/>
      </w:pPr>
      <w:rPr>
        <w:rFonts w:ascii="Arial" w:hAnsi="Arial" w:cs="Arial" w:hint="default"/>
      </w:rPr>
    </w:lvl>
    <w:lvl w:ilvl="4">
      <w:start w:val="1"/>
      <w:numFmt w:val="lowerLetter"/>
      <w:lvlText w:val=""/>
      <w:lvlJc w:val="left"/>
      <w:pPr>
        <w:tabs>
          <w:tab w:val="num" w:pos="6740"/>
        </w:tabs>
        <w:ind w:left="0" w:firstLine="0"/>
      </w:pPr>
      <w:rPr>
        <w:rFonts w:cs="Times New Roman" w:hint="default"/>
        <w:color w:val="000000"/>
      </w:rPr>
    </w:lvl>
    <w:lvl w:ilvl="5">
      <w:start w:val="1"/>
      <w:numFmt w:val="lowerRoman"/>
      <w:lvlText w:val=""/>
      <w:lvlJc w:val="left"/>
      <w:pPr>
        <w:tabs>
          <w:tab w:val="num" w:pos="6740"/>
        </w:tabs>
        <w:ind w:left="0" w:firstLine="0"/>
      </w:pPr>
      <w:rPr>
        <w:rFonts w:cs="Times New Roman" w:hint="default"/>
      </w:rPr>
    </w:lvl>
    <w:lvl w:ilvl="6">
      <w:start w:val="1"/>
      <w:numFmt w:val="decimal"/>
      <w:lvlText w:val="%"/>
      <w:lvlJc w:val="left"/>
      <w:pPr>
        <w:tabs>
          <w:tab w:val="num" w:pos="9260"/>
        </w:tabs>
        <w:ind w:left="9260" w:hanging="360"/>
      </w:pPr>
      <w:rPr>
        <w:rFonts w:cs="Times New Roman" w:hint="default"/>
      </w:rPr>
    </w:lvl>
    <w:lvl w:ilvl="7">
      <w:start w:val="1"/>
      <w:numFmt w:val="lowerLetter"/>
      <w:lvlText w:val="%"/>
      <w:lvlJc w:val="left"/>
      <w:pPr>
        <w:tabs>
          <w:tab w:val="num" w:pos="9620"/>
        </w:tabs>
        <w:ind w:left="9620" w:hanging="360"/>
      </w:pPr>
      <w:rPr>
        <w:rFonts w:cs="Times New Roman" w:hint="default"/>
      </w:rPr>
    </w:lvl>
    <w:lvl w:ilvl="8">
      <w:start w:val="1"/>
      <w:numFmt w:val="lowerRoman"/>
      <w:lvlText w:val="%"/>
      <w:lvlJc w:val="left"/>
      <w:pPr>
        <w:tabs>
          <w:tab w:val="num" w:pos="9980"/>
        </w:tabs>
        <w:ind w:left="9980" w:hanging="360"/>
      </w:pPr>
      <w:rPr>
        <w:rFonts w:cs="Times New Roman" w:hint="default"/>
      </w:rPr>
    </w:lvl>
  </w:abstractNum>
  <w:abstractNum w:abstractNumId="14" w15:restartNumberingAfterBreak="0">
    <w:nsid w:val="0A7C5D77"/>
    <w:multiLevelType w:val="hybridMultilevel"/>
    <w:tmpl w:val="C366C9CA"/>
    <w:lvl w:ilvl="0" w:tplc="08090001">
      <w:start w:val="1"/>
      <w:numFmt w:val="bullet"/>
      <w:lvlText w:val=""/>
      <w:lvlJc w:val="left"/>
      <w:pPr>
        <w:ind w:left="720" w:hanging="360"/>
      </w:pPr>
      <w:rPr>
        <w:rFonts w:ascii="Symbol" w:hAnsi="Symbol" w:hint="default"/>
      </w:rPr>
    </w:lvl>
    <w:lvl w:ilvl="1" w:tplc="8C6ED434">
      <w:start w:val="1"/>
      <w:numFmt w:val="bullet"/>
      <w:lvlText w:val="−"/>
      <w:lvlJc w:val="left"/>
      <w:pPr>
        <w:ind w:left="1440" w:hanging="360"/>
      </w:pPr>
      <w:rPr>
        <w:rFonts w:ascii="Calibri"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E74F7D"/>
    <w:multiLevelType w:val="multilevel"/>
    <w:tmpl w:val="FBAECDEE"/>
    <w:lvl w:ilvl="0">
      <w:start w:val="1"/>
      <w:numFmt w:val="decimal"/>
      <w:lvlText w:val="%1."/>
      <w:lvlJc w:val="left"/>
      <w:pPr>
        <w:tabs>
          <w:tab w:val="num" w:pos="3589"/>
        </w:tabs>
        <w:ind w:left="3589" w:hanging="709"/>
      </w:pPr>
      <w:rPr>
        <w:rFonts w:ascii="Arial" w:hAnsi="Arial" w:cs="Arial" w:hint="default"/>
        <w:b w:val="0"/>
      </w:rPr>
    </w:lvl>
    <w:lvl w:ilvl="1">
      <w:start w:val="1"/>
      <w:numFmt w:val="decimal"/>
      <w:isLgl/>
      <w:lvlText w:val="%1.%2"/>
      <w:lvlJc w:val="left"/>
      <w:pPr>
        <w:tabs>
          <w:tab w:val="num" w:pos="3589"/>
        </w:tabs>
        <w:ind w:left="3589" w:hanging="709"/>
      </w:pPr>
      <w:rPr>
        <w:rFonts w:ascii="Arial" w:hAnsi="Arial" w:cs="Arial" w:hint="default"/>
        <w:b w:val="0"/>
      </w:rPr>
    </w:lvl>
    <w:lvl w:ilvl="2">
      <w:start w:val="1"/>
      <w:numFmt w:val="lowerLetter"/>
      <w:lvlText w:val="(%3)"/>
      <w:lvlJc w:val="left"/>
      <w:pPr>
        <w:tabs>
          <w:tab w:val="num" w:pos="3948"/>
        </w:tabs>
        <w:ind w:left="3948" w:hanging="708"/>
      </w:pPr>
      <w:rPr>
        <w:rFonts w:ascii="Arial" w:hAnsi="Arial" w:cs="Arial" w:hint="default"/>
        <w:b w:val="0"/>
      </w:rPr>
    </w:lvl>
    <w:lvl w:ilvl="3">
      <w:start w:val="1"/>
      <w:numFmt w:val="lowerRoman"/>
      <w:lvlText w:val="(%4)"/>
      <w:lvlJc w:val="left"/>
      <w:pPr>
        <w:tabs>
          <w:tab w:val="num" w:pos="5006"/>
        </w:tabs>
        <w:ind w:left="5006" w:hanging="709"/>
      </w:pPr>
      <w:rPr>
        <w:rFonts w:ascii="Arial" w:hAnsi="Arial" w:cs="Arial" w:hint="default"/>
        <w:b w:val="0"/>
      </w:rPr>
    </w:lvl>
    <w:lvl w:ilvl="4">
      <w:start w:val="1"/>
      <w:numFmt w:val="decimal"/>
      <w:lvlText w:val="(%5)"/>
      <w:lvlJc w:val="left"/>
      <w:pPr>
        <w:tabs>
          <w:tab w:val="num" w:pos="5715"/>
        </w:tabs>
        <w:ind w:left="5715" w:hanging="709"/>
      </w:pPr>
      <w:rPr>
        <w:rFonts w:ascii="Arial" w:hAnsi="Arial" w:cs="Arial" w:hint="default"/>
        <w:b w:val="0"/>
      </w:rPr>
    </w:lvl>
    <w:lvl w:ilvl="5">
      <w:start w:val="1"/>
      <w:numFmt w:val="lowerRoman"/>
      <w:lvlText w:val="(%6)"/>
      <w:lvlJc w:val="left"/>
      <w:pPr>
        <w:tabs>
          <w:tab w:val="num" w:pos="5040"/>
        </w:tabs>
        <w:ind w:left="5040" w:hanging="360"/>
      </w:pPr>
    </w:lvl>
    <w:lvl w:ilvl="6">
      <w:start w:val="1"/>
      <w:numFmt w:val="decimal"/>
      <w:lvlText w:val="%7."/>
      <w:lvlJc w:val="left"/>
      <w:pPr>
        <w:tabs>
          <w:tab w:val="num" w:pos="5400"/>
        </w:tabs>
        <w:ind w:left="540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120"/>
        </w:tabs>
        <w:ind w:left="6120" w:hanging="360"/>
      </w:pPr>
    </w:lvl>
  </w:abstractNum>
  <w:abstractNum w:abstractNumId="16" w15:restartNumberingAfterBreak="0">
    <w:nsid w:val="10B76607"/>
    <w:multiLevelType w:val="hybridMultilevel"/>
    <w:tmpl w:val="C8E235E8"/>
    <w:lvl w:ilvl="0" w:tplc="7F86960C">
      <w:numFmt w:val="bullet"/>
      <w:lvlText w:val=""/>
      <w:lvlJc w:val="left"/>
      <w:pPr>
        <w:ind w:left="154" w:hanging="336"/>
      </w:pPr>
      <w:rPr>
        <w:rFonts w:ascii="Wingdings" w:eastAsia="Wingdings" w:hAnsi="Wingdings" w:cs="Wingdings" w:hint="default"/>
        <w:w w:val="99"/>
        <w:sz w:val="20"/>
        <w:szCs w:val="20"/>
        <w:lang w:val="en-US" w:eastAsia="en-US" w:bidi="en-US"/>
      </w:rPr>
    </w:lvl>
    <w:lvl w:ilvl="1" w:tplc="DC94C3C2">
      <w:numFmt w:val="bullet"/>
      <w:lvlText w:val="•"/>
      <w:lvlJc w:val="left"/>
      <w:pPr>
        <w:ind w:left="1156" w:hanging="336"/>
      </w:pPr>
      <w:rPr>
        <w:rFonts w:hint="default"/>
        <w:lang w:val="en-US" w:eastAsia="en-US" w:bidi="en-US"/>
      </w:rPr>
    </w:lvl>
    <w:lvl w:ilvl="2" w:tplc="79564278">
      <w:numFmt w:val="bullet"/>
      <w:lvlText w:val="•"/>
      <w:lvlJc w:val="left"/>
      <w:pPr>
        <w:ind w:left="2153" w:hanging="336"/>
      </w:pPr>
      <w:rPr>
        <w:rFonts w:hint="default"/>
        <w:lang w:val="en-US" w:eastAsia="en-US" w:bidi="en-US"/>
      </w:rPr>
    </w:lvl>
    <w:lvl w:ilvl="3" w:tplc="50868666">
      <w:numFmt w:val="bullet"/>
      <w:lvlText w:val="•"/>
      <w:lvlJc w:val="left"/>
      <w:pPr>
        <w:ind w:left="3149" w:hanging="336"/>
      </w:pPr>
      <w:rPr>
        <w:rFonts w:hint="default"/>
        <w:lang w:val="en-US" w:eastAsia="en-US" w:bidi="en-US"/>
      </w:rPr>
    </w:lvl>
    <w:lvl w:ilvl="4" w:tplc="7CEA9CE4">
      <w:numFmt w:val="bullet"/>
      <w:lvlText w:val="•"/>
      <w:lvlJc w:val="left"/>
      <w:pPr>
        <w:ind w:left="4146" w:hanging="336"/>
      </w:pPr>
      <w:rPr>
        <w:rFonts w:hint="default"/>
        <w:lang w:val="en-US" w:eastAsia="en-US" w:bidi="en-US"/>
      </w:rPr>
    </w:lvl>
    <w:lvl w:ilvl="5" w:tplc="47C26916">
      <w:numFmt w:val="bullet"/>
      <w:lvlText w:val="•"/>
      <w:lvlJc w:val="left"/>
      <w:pPr>
        <w:ind w:left="5143" w:hanging="336"/>
      </w:pPr>
      <w:rPr>
        <w:rFonts w:hint="default"/>
        <w:lang w:val="en-US" w:eastAsia="en-US" w:bidi="en-US"/>
      </w:rPr>
    </w:lvl>
    <w:lvl w:ilvl="6" w:tplc="02BC3BAA">
      <w:numFmt w:val="bullet"/>
      <w:lvlText w:val="•"/>
      <w:lvlJc w:val="left"/>
      <w:pPr>
        <w:ind w:left="6139" w:hanging="336"/>
      </w:pPr>
      <w:rPr>
        <w:rFonts w:hint="default"/>
        <w:lang w:val="en-US" w:eastAsia="en-US" w:bidi="en-US"/>
      </w:rPr>
    </w:lvl>
    <w:lvl w:ilvl="7" w:tplc="6A606FCE">
      <w:numFmt w:val="bullet"/>
      <w:lvlText w:val="•"/>
      <w:lvlJc w:val="left"/>
      <w:pPr>
        <w:ind w:left="7136" w:hanging="336"/>
      </w:pPr>
      <w:rPr>
        <w:rFonts w:hint="default"/>
        <w:lang w:val="en-US" w:eastAsia="en-US" w:bidi="en-US"/>
      </w:rPr>
    </w:lvl>
    <w:lvl w:ilvl="8" w:tplc="B6DA7F40">
      <w:numFmt w:val="bullet"/>
      <w:lvlText w:val="•"/>
      <w:lvlJc w:val="left"/>
      <w:pPr>
        <w:ind w:left="8133" w:hanging="336"/>
      </w:pPr>
      <w:rPr>
        <w:rFonts w:hint="default"/>
        <w:lang w:val="en-US" w:eastAsia="en-US" w:bidi="en-US"/>
      </w:rPr>
    </w:lvl>
  </w:abstractNum>
  <w:abstractNum w:abstractNumId="17" w15:restartNumberingAfterBreak="0">
    <w:nsid w:val="12C66C4A"/>
    <w:multiLevelType w:val="multilevel"/>
    <w:tmpl w:val="81A40528"/>
    <w:name w:val="BulletListTemplate"/>
    <w:lvl w:ilvl="0">
      <w:start w:val="1"/>
      <w:numFmt w:val="decimal"/>
      <w:pStyle w:val="BulletList1"/>
      <w:lvlText w:val="l"/>
      <w:lvlJc w:val="left"/>
      <w:pPr>
        <w:tabs>
          <w:tab w:val="num" w:pos="460"/>
        </w:tabs>
        <w:ind w:left="460" w:hanging="460"/>
      </w:pPr>
      <w:rPr>
        <w:rFonts w:ascii="Wingdings" w:hAnsi="Wingdings" w:hint="default"/>
        <w:color w:val="000000"/>
        <w:sz w:val="18"/>
      </w:rPr>
    </w:lvl>
    <w:lvl w:ilvl="1">
      <w:start w:val="1"/>
      <w:numFmt w:val="lowerLetter"/>
      <w:pStyle w:val="BulletList2"/>
      <w:lvlText w:val="–"/>
      <w:lvlJc w:val="left"/>
      <w:pPr>
        <w:tabs>
          <w:tab w:val="num" w:pos="900"/>
        </w:tabs>
        <w:ind w:left="900" w:hanging="440"/>
      </w:pPr>
      <w:rPr>
        <w:rFonts w:ascii="Arial" w:hAnsi="Arial" w:cs="Arial"/>
        <w:color w:val="000000"/>
      </w:rPr>
    </w:lvl>
    <w:lvl w:ilvl="2">
      <w:start w:val="1"/>
      <w:numFmt w:val="lowerRoman"/>
      <w:pStyle w:val="BulletList3"/>
      <w:lvlText w:val="l"/>
      <w:lvlJc w:val="left"/>
      <w:pPr>
        <w:tabs>
          <w:tab w:val="num" w:pos="1360"/>
        </w:tabs>
        <w:ind w:left="1360" w:hanging="460"/>
      </w:pPr>
      <w:rPr>
        <w:rFonts w:ascii="Wingdings" w:hAnsi="Wingdings" w:hint="default"/>
        <w:color w:val="000000"/>
        <w:sz w:val="18"/>
      </w:rPr>
    </w:lvl>
    <w:lvl w:ilvl="3">
      <w:start w:val="1"/>
      <w:numFmt w:val="decimal"/>
      <w:pStyle w:val="BulletList4"/>
      <w:lvlText w:val="–"/>
      <w:lvlJc w:val="left"/>
      <w:pPr>
        <w:tabs>
          <w:tab w:val="num" w:pos="1820"/>
        </w:tabs>
        <w:ind w:left="1820" w:hanging="460"/>
      </w:pPr>
      <w:rPr>
        <w:rFonts w:ascii="Arial" w:hAnsi="Arial" w:cs="Arial"/>
        <w:color w:val="000000"/>
      </w:rPr>
    </w:lvl>
    <w:lvl w:ilvl="4">
      <w:start w:val="1"/>
      <w:numFmt w:val="lowerLetter"/>
      <w:pStyle w:val="BulletList5"/>
      <w:lvlText w:val="l"/>
      <w:lvlJc w:val="left"/>
      <w:pPr>
        <w:tabs>
          <w:tab w:val="num" w:pos="1020"/>
        </w:tabs>
        <w:ind w:left="1020" w:hanging="340"/>
      </w:pPr>
      <w:rPr>
        <w:rFonts w:ascii="Wingdings" w:hAnsi="Wingdings" w:hint="default"/>
        <w:color w:val="000000"/>
        <w:sz w:val="18"/>
      </w:rPr>
    </w:lvl>
    <w:lvl w:ilvl="5">
      <w:start w:val="1"/>
      <w:numFmt w:val="lowerRoman"/>
      <w:pStyle w:val="BulletList6"/>
      <w:lvlText w:val="–"/>
      <w:lvlJc w:val="left"/>
      <w:pPr>
        <w:tabs>
          <w:tab w:val="num" w:pos="1360"/>
        </w:tabs>
        <w:ind w:left="1360" w:hanging="340"/>
      </w:pPr>
      <w:rPr>
        <w:rFonts w:ascii="Arial" w:hAnsi="Arial" w:cs="Arial"/>
        <w:color w:val="000000"/>
      </w:rPr>
    </w:lvl>
    <w:lvl w:ilvl="6">
      <w:start w:val="1"/>
      <w:numFmt w:val="decimal"/>
      <w:pStyle w:val="BulletList7"/>
      <w:lvlText w:val=""/>
      <w:lvlJc w:val="left"/>
      <w:pPr>
        <w:tabs>
          <w:tab w:val="num" w:pos="0"/>
        </w:tabs>
        <w:ind w:left="0" w:firstLine="0"/>
      </w:pPr>
      <w:rPr>
        <w:color w:val="000000"/>
      </w:rPr>
    </w:lvl>
    <w:lvl w:ilvl="7">
      <w:start w:val="1"/>
      <w:numFmt w:val="lowerLetter"/>
      <w:pStyle w:val="BulletList8"/>
      <w:lvlText w:val=""/>
      <w:lvlJc w:val="left"/>
      <w:pPr>
        <w:tabs>
          <w:tab w:val="num" w:pos="0"/>
        </w:tabs>
        <w:ind w:left="0" w:firstLine="0"/>
      </w:pPr>
      <w:rPr>
        <w:color w:val="000000"/>
      </w:rPr>
    </w:lvl>
    <w:lvl w:ilvl="8">
      <w:start w:val="1"/>
      <w:numFmt w:val="lowerRoman"/>
      <w:pStyle w:val="BulletList9"/>
      <w:lvlText w:val=""/>
      <w:lvlJc w:val="left"/>
      <w:pPr>
        <w:tabs>
          <w:tab w:val="num" w:pos="0"/>
        </w:tabs>
        <w:ind w:left="0" w:firstLine="0"/>
      </w:pPr>
      <w:rPr>
        <w:color w:val="000000"/>
      </w:rPr>
    </w:lvl>
  </w:abstractNum>
  <w:abstractNum w:abstractNumId="18" w15:restartNumberingAfterBreak="0">
    <w:nsid w:val="13887AA4"/>
    <w:multiLevelType w:val="multilevel"/>
    <w:tmpl w:val="2C0C3B4C"/>
    <w:name w:val="HeadingListTemplate12"/>
    <w:lvl w:ilvl="0">
      <w:start w:val="1"/>
      <w:numFmt w:val="decimal"/>
      <w:lvlRestart w:val="0"/>
      <w:suff w:val="nothing"/>
      <w:lvlText w:val="Section %1"/>
      <w:lvlJc w:val="left"/>
      <w:pPr>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1"/>
      <w:lvlText w:val="%1.%4"/>
      <w:lvlJc w:val="left"/>
      <w:pPr>
        <w:tabs>
          <w:tab w:val="num" w:pos="680"/>
        </w:tabs>
        <w:ind w:left="680" w:hanging="680"/>
      </w:pPr>
      <w:rPr>
        <w:rFonts w:cs="Times New Roman" w:hint="default"/>
      </w:rPr>
    </w:lvl>
    <w:lvl w:ilvl="4">
      <w:start w:val="1"/>
      <w:numFmt w:val="lowerLetter"/>
      <w:lvlText w:val="%5"/>
      <w:lvlJc w:val="left"/>
      <w:pPr>
        <w:tabs>
          <w:tab w:val="num" w:pos="1020"/>
        </w:tabs>
        <w:ind w:left="1020" w:hanging="340"/>
      </w:pPr>
      <w:rPr>
        <w:rFonts w:cs="Times New Roman" w:hint="default"/>
      </w:rPr>
    </w:lvl>
    <w:lvl w:ilvl="5">
      <w:start w:val="1"/>
      <w:numFmt w:val="decimal"/>
      <w:lvlRestart w:val="4"/>
      <w:lvlText w:val="%1.%4.%6"/>
      <w:lvlJc w:val="left"/>
      <w:pPr>
        <w:tabs>
          <w:tab w:val="num" w:pos="1361"/>
        </w:tabs>
        <w:ind w:left="1361" w:hanging="681"/>
      </w:pPr>
      <w:rPr>
        <w:rFonts w:cs="Times New Roman" w:hint="default"/>
      </w:rPr>
    </w:lvl>
    <w:lvl w:ilvl="6">
      <w:start w:val="1"/>
      <w:numFmt w:val="lowerLetter"/>
      <w:lvlText w:val="%7"/>
      <w:lvlJc w:val="left"/>
      <w:pPr>
        <w:tabs>
          <w:tab w:val="num" w:pos="1701"/>
        </w:tabs>
        <w:ind w:left="1701" w:hanging="340"/>
      </w:pPr>
      <w:rPr>
        <w:rFonts w:cs="Times New Roman" w:hint="default"/>
      </w:rPr>
    </w:lvl>
    <w:lvl w:ilvl="7">
      <w:start w:val="1"/>
      <w:numFmt w:val="upperLetter"/>
      <w:lvlRestart w:val="0"/>
      <w:suff w:val="nothing"/>
      <w:lvlText w:val="Appendix %8"/>
      <w:lvlJc w:val="left"/>
      <w:pPr>
        <w:ind w:left="0" w:firstLine="0"/>
      </w:pPr>
      <w:rPr>
        <w:rFonts w:cs="Times New Roman" w:hint="default"/>
      </w:rPr>
    </w:lvl>
    <w:lvl w:ilvl="8">
      <w:start w:val="1"/>
      <w:numFmt w:val="decimal"/>
      <w:lvlText w:val="%8.%9"/>
      <w:lvlJc w:val="left"/>
      <w:pPr>
        <w:tabs>
          <w:tab w:val="num" w:pos="680"/>
        </w:tabs>
        <w:ind w:left="680" w:hanging="680"/>
      </w:pPr>
      <w:rPr>
        <w:rFonts w:cs="Times New Roman" w:hint="default"/>
      </w:rPr>
    </w:lvl>
  </w:abstractNum>
  <w:abstractNum w:abstractNumId="19" w15:restartNumberingAfterBreak="0">
    <w:nsid w:val="16A7460B"/>
    <w:multiLevelType w:val="multilevel"/>
    <w:tmpl w:val="32E26A16"/>
    <w:name w:val="HeadingListTemplate13"/>
    <w:lvl w:ilvl="0">
      <w:start w:val="1"/>
      <w:numFmt w:val="decimal"/>
      <w:lvlRestart w:val="0"/>
      <w:suff w:val="nothing"/>
      <w:lvlText w:val="Section %1"/>
      <w:lvlJc w:val="left"/>
      <w:pPr>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1"/>
      <w:lvlText w:val="%1.%4"/>
      <w:lvlJc w:val="left"/>
      <w:pPr>
        <w:tabs>
          <w:tab w:val="num" w:pos="680"/>
        </w:tabs>
        <w:ind w:left="680" w:hanging="680"/>
      </w:pPr>
      <w:rPr>
        <w:rFonts w:cs="Times New Roman" w:hint="default"/>
      </w:rPr>
    </w:lvl>
    <w:lvl w:ilvl="4">
      <w:start w:val="1"/>
      <w:numFmt w:val="lowerLetter"/>
      <w:lvlText w:val="%5"/>
      <w:lvlJc w:val="left"/>
      <w:pPr>
        <w:tabs>
          <w:tab w:val="num" w:pos="1020"/>
        </w:tabs>
        <w:ind w:left="1020" w:hanging="340"/>
      </w:pPr>
      <w:rPr>
        <w:rFonts w:cs="Times New Roman" w:hint="default"/>
      </w:rPr>
    </w:lvl>
    <w:lvl w:ilvl="5">
      <w:start w:val="1"/>
      <w:numFmt w:val="decimal"/>
      <w:lvlRestart w:val="4"/>
      <w:lvlText w:val="%1.%4.%6"/>
      <w:lvlJc w:val="left"/>
      <w:pPr>
        <w:tabs>
          <w:tab w:val="num" w:pos="1361"/>
        </w:tabs>
        <w:ind w:left="1361" w:hanging="681"/>
      </w:pPr>
      <w:rPr>
        <w:rFonts w:cs="Times New Roman" w:hint="default"/>
      </w:rPr>
    </w:lvl>
    <w:lvl w:ilvl="6">
      <w:start w:val="1"/>
      <w:numFmt w:val="lowerLetter"/>
      <w:lvlText w:val="%7"/>
      <w:lvlJc w:val="left"/>
      <w:pPr>
        <w:tabs>
          <w:tab w:val="num" w:pos="1701"/>
        </w:tabs>
        <w:ind w:left="1701" w:hanging="340"/>
      </w:pPr>
      <w:rPr>
        <w:rFonts w:cs="Times New Roman" w:hint="default"/>
      </w:rPr>
    </w:lvl>
    <w:lvl w:ilvl="7">
      <w:start w:val="1"/>
      <w:numFmt w:val="upperLetter"/>
      <w:lvlRestart w:val="0"/>
      <w:suff w:val="nothing"/>
      <w:lvlText w:val="Appendix %8"/>
      <w:lvlJc w:val="left"/>
      <w:pPr>
        <w:ind w:left="0" w:firstLine="0"/>
      </w:pPr>
      <w:rPr>
        <w:rFonts w:cs="Times New Roman" w:hint="default"/>
      </w:rPr>
    </w:lvl>
    <w:lvl w:ilvl="8">
      <w:start w:val="1"/>
      <w:numFmt w:val="decimal"/>
      <w:lvlText w:val="%8.%9"/>
      <w:lvlJc w:val="left"/>
      <w:pPr>
        <w:tabs>
          <w:tab w:val="num" w:pos="680"/>
        </w:tabs>
        <w:ind w:left="680" w:hanging="680"/>
      </w:pPr>
      <w:rPr>
        <w:rFonts w:cs="Times New Roman" w:hint="default"/>
      </w:rPr>
    </w:lvl>
  </w:abstractNum>
  <w:abstractNum w:abstractNumId="20" w15:restartNumberingAfterBreak="0">
    <w:nsid w:val="19BF6BD6"/>
    <w:multiLevelType w:val="multilevel"/>
    <w:tmpl w:val="557271E4"/>
    <w:name w:val="HeadingListTemplate9"/>
    <w:lvl w:ilvl="0">
      <w:start w:val="1"/>
      <w:numFmt w:val="decimal"/>
      <w:lvlRestart w:val="0"/>
      <w:suff w:val="nothing"/>
      <w:lvlText w:val="Section %1"/>
      <w:lvlJc w:val="left"/>
      <w:pPr>
        <w:tabs>
          <w:tab w:val="num" w:pos="0"/>
        </w:tabs>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0"/>
      <w:lvlText w:val=""/>
      <w:lvlJc w:val="left"/>
      <w:pPr>
        <w:tabs>
          <w:tab w:val="num" w:pos="0"/>
        </w:tabs>
        <w:ind w:left="0" w:firstLine="0"/>
      </w:pPr>
      <w:rPr>
        <w:rFonts w:cs="Times New Roman" w:hint="default"/>
      </w:rPr>
    </w:lvl>
    <w:lvl w:ilvl="4">
      <w:start w:val="1"/>
      <w:numFmt w:val="decimal"/>
      <w:lvlText w:val="%1.%5"/>
      <w:lvlJc w:val="left"/>
      <w:pPr>
        <w:tabs>
          <w:tab w:val="num" w:pos="680"/>
        </w:tabs>
        <w:ind w:left="680" w:hanging="680"/>
      </w:pPr>
      <w:rPr>
        <w:rFonts w:cs="Times New Roman" w:hint="default"/>
      </w:rPr>
    </w:lvl>
    <w:lvl w:ilvl="5">
      <w:start w:val="1"/>
      <w:numFmt w:val="decimal"/>
      <w:lvlText w:val="%1.%5.%6"/>
      <w:lvlJc w:val="left"/>
      <w:pPr>
        <w:tabs>
          <w:tab w:val="num" w:pos="1361"/>
        </w:tabs>
        <w:ind w:left="1361" w:hanging="681"/>
      </w:pPr>
      <w:rPr>
        <w:rFonts w:cs="Times New Roman" w:hint="default"/>
      </w:rPr>
    </w:lvl>
    <w:lvl w:ilvl="6">
      <w:start w:val="1"/>
      <w:numFmt w:val="upperLetter"/>
      <w:lvlRestart w:val="0"/>
      <w:suff w:val="nothing"/>
      <w:lvlText w:val="Appendix %7"/>
      <w:lvlJc w:val="left"/>
      <w:pPr>
        <w:tabs>
          <w:tab w:val="num" w:pos="0"/>
        </w:tabs>
        <w:ind w:left="0" w:firstLine="0"/>
      </w:pPr>
      <w:rPr>
        <w:rFonts w:cs="Times New Roman" w:hint="default"/>
      </w:rPr>
    </w:lvl>
    <w:lvl w:ilvl="7">
      <w:start w:val="1"/>
      <w:numFmt w:val="decimal"/>
      <w:lvlText w:val="%7.%8"/>
      <w:lvlJc w:val="left"/>
      <w:pPr>
        <w:tabs>
          <w:tab w:val="num" w:pos="680"/>
        </w:tabs>
        <w:ind w:left="680" w:hanging="680"/>
      </w:pPr>
      <w:rPr>
        <w:rFonts w:cs="Times New Roman" w:hint="default"/>
      </w:rPr>
    </w:lvl>
    <w:lvl w:ilvl="8">
      <w:start w:val="1"/>
      <w:numFmt w:val="decimal"/>
      <w:lvlRestart w:val="0"/>
      <w:lvlText w:val=""/>
      <w:lvlJc w:val="left"/>
      <w:pPr>
        <w:tabs>
          <w:tab w:val="num" w:pos="0"/>
        </w:tabs>
        <w:ind w:left="0" w:firstLine="0"/>
      </w:pPr>
      <w:rPr>
        <w:rFonts w:cs="Times New Roman" w:hint="default"/>
      </w:rPr>
    </w:lvl>
  </w:abstractNum>
  <w:abstractNum w:abstractNumId="21" w15:restartNumberingAfterBreak="0">
    <w:nsid w:val="19F57C4D"/>
    <w:multiLevelType w:val="hybridMultilevel"/>
    <w:tmpl w:val="ED80F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B705888"/>
    <w:multiLevelType w:val="multilevel"/>
    <w:tmpl w:val="0809001D"/>
    <w:name w:val="zxcvzcx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1C3B2927"/>
    <w:multiLevelType w:val="multilevel"/>
    <w:tmpl w:val="D9EA5F8E"/>
    <w:name w:val="HeadingListTemplate18"/>
    <w:lvl w:ilvl="0">
      <w:start w:val="1"/>
      <w:numFmt w:val="decimal"/>
      <w:lvlRestart w:val="0"/>
      <w:suff w:val="nothing"/>
      <w:lvlText w:val="Section %1"/>
      <w:lvlJc w:val="left"/>
      <w:pPr>
        <w:tabs>
          <w:tab w:val="num" w:pos="0"/>
        </w:tabs>
        <w:ind w:left="0" w:firstLine="0"/>
      </w:pPr>
      <w:rPr>
        <w:rFonts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hint="default"/>
      </w:rPr>
    </w:lvl>
    <w:lvl w:ilvl="3">
      <w:start w:val="1"/>
      <w:numFmt w:val="decimal"/>
      <w:lvlText w:val="%1.%4"/>
      <w:lvlJc w:val="left"/>
      <w:pPr>
        <w:tabs>
          <w:tab w:val="num" w:pos="680"/>
        </w:tabs>
        <w:ind w:left="680" w:hanging="680"/>
      </w:pPr>
      <w:rPr>
        <w:rFonts w:hint="default"/>
      </w:rPr>
    </w:lvl>
    <w:lvl w:ilvl="4">
      <w:start w:val="1"/>
      <w:numFmt w:val="lowerLetter"/>
      <w:lvlText w:val="%5"/>
      <w:lvlJc w:val="left"/>
      <w:pPr>
        <w:tabs>
          <w:tab w:val="num" w:pos="1020"/>
        </w:tabs>
        <w:ind w:left="1020" w:hanging="340"/>
      </w:pPr>
      <w:rPr>
        <w:rFonts w:hint="default"/>
      </w:rPr>
    </w:lvl>
    <w:lvl w:ilvl="5">
      <w:start w:val="1"/>
      <w:numFmt w:val="decimal"/>
      <w:lvlText w:val="%1.%4.%6"/>
      <w:lvlJc w:val="left"/>
      <w:pPr>
        <w:tabs>
          <w:tab w:val="num" w:pos="1361"/>
        </w:tabs>
        <w:ind w:left="1361" w:hanging="681"/>
      </w:pPr>
      <w:rPr>
        <w:rFonts w:hint="default"/>
      </w:rPr>
    </w:lvl>
    <w:lvl w:ilvl="6">
      <w:start w:val="1"/>
      <w:numFmt w:val="lowerLetter"/>
      <w:lvlText w:val="%7"/>
      <w:lvlJc w:val="left"/>
      <w:pPr>
        <w:tabs>
          <w:tab w:val="num" w:pos="1701"/>
        </w:tabs>
        <w:ind w:left="1701" w:hanging="340"/>
      </w:pPr>
      <w:rPr>
        <w:rFonts w:hint="default"/>
      </w:rPr>
    </w:lvl>
    <w:lvl w:ilvl="7">
      <w:start w:val="1"/>
      <w:numFmt w:val="upperLetter"/>
      <w:lvlRestart w:val="0"/>
      <w:suff w:val="nothing"/>
      <w:lvlText w:val="Appendix %8"/>
      <w:lvlJc w:val="left"/>
      <w:pPr>
        <w:tabs>
          <w:tab w:val="num" w:pos="0"/>
        </w:tabs>
        <w:ind w:left="0" w:firstLine="0"/>
      </w:pPr>
      <w:rPr>
        <w:rFonts w:hint="default"/>
      </w:rPr>
    </w:lvl>
    <w:lvl w:ilvl="8">
      <w:start w:val="1"/>
      <w:numFmt w:val="decimal"/>
      <w:lvlText w:val="%8.%9"/>
      <w:lvlJc w:val="left"/>
      <w:pPr>
        <w:tabs>
          <w:tab w:val="num" w:pos="680"/>
        </w:tabs>
        <w:ind w:left="680" w:hanging="680"/>
      </w:pPr>
      <w:rPr>
        <w:rFonts w:hint="default"/>
      </w:rPr>
    </w:lvl>
  </w:abstractNum>
  <w:abstractNum w:abstractNumId="24" w15:restartNumberingAfterBreak="0">
    <w:nsid w:val="1DE461BE"/>
    <w:multiLevelType w:val="hybridMultilevel"/>
    <w:tmpl w:val="E1A2C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0435E5E"/>
    <w:multiLevelType w:val="hybridMultilevel"/>
    <w:tmpl w:val="1A7A4066"/>
    <w:lvl w:ilvl="0" w:tplc="8C6ED43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7103BEA"/>
    <w:multiLevelType w:val="hybridMultilevel"/>
    <w:tmpl w:val="5F4EA3A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E5B0D7E"/>
    <w:multiLevelType w:val="multilevel"/>
    <w:tmpl w:val="D1AA0548"/>
    <w:name w:val="HeadingListTemplate5"/>
    <w:lvl w:ilvl="0">
      <w:start w:val="1"/>
      <w:numFmt w:val="decimal"/>
      <w:lvlRestart w:val="0"/>
      <w:suff w:val="nothing"/>
      <w:lvlText w:val="Section %1"/>
      <w:lvlJc w:val="left"/>
      <w:pPr>
        <w:tabs>
          <w:tab w:val="num" w:pos="0"/>
        </w:tabs>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0"/>
      <w:lvlText w:val=""/>
      <w:lvlJc w:val="left"/>
      <w:pPr>
        <w:tabs>
          <w:tab w:val="num" w:pos="0"/>
        </w:tabs>
        <w:ind w:left="0" w:firstLine="0"/>
      </w:pPr>
      <w:rPr>
        <w:rFonts w:cs="Times New Roman" w:hint="default"/>
      </w:rPr>
    </w:lvl>
    <w:lvl w:ilvl="4">
      <w:start w:val="1"/>
      <w:numFmt w:val="decimal"/>
      <w:lvlText w:val="%1.%5"/>
      <w:lvlJc w:val="left"/>
      <w:pPr>
        <w:tabs>
          <w:tab w:val="num" w:pos="680"/>
        </w:tabs>
        <w:ind w:left="680" w:hanging="680"/>
      </w:pPr>
      <w:rPr>
        <w:rFonts w:cs="Times New Roman" w:hint="default"/>
      </w:rPr>
    </w:lvl>
    <w:lvl w:ilvl="5">
      <w:start w:val="1"/>
      <w:numFmt w:val="decimal"/>
      <w:lvlText w:val="%1.%5.%6"/>
      <w:lvlJc w:val="left"/>
      <w:pPr>
        <w:tabs>
          <w:tab w:val="num" w:pos="1361"/>
        </w:tabs>
        <w:ind w:left="1361" w:hanging="681"/>
      </w:pPr>
      <w:rPr>
        <w:rFonts w:cs="Times New Roman" w:hint="default"/>
      </w:rPr>
    </w:lvl>
    <w:lvl w:ilvl="6">
      <w:start w:val="1"/>
      <w:numFmt w:val="upperLetter"/>
      <w:lvlRestart w:val="0"/>
      <w:suff w:val="nothing"/>
      <w:lvlText w:val="Appendix %7"/>
      <w:lvlJc w:val="left"/>
      <w:pPr>
        <w:tabs>
          <w:tab w:val="num" w:pos="0"/>
        </w:tabs>
        <w:ind w:left="0" w:firstLine="0"/>
      </w:pPr>
      <w:rPr>
        <w:rFonts w:cs="Times New Roman" w:hint="default"/>
      </w:rPr>
    </w:lvl>
    <w:lvl w:ilvl="7">
      <w:start w:val="1"/>
      <w:numFmt w:val="decimal"/>
      <w:lvlText w:val="%7.%8"/>
      <w:lvlJc w:val="left"/>
      <w:pPr>
        <w:tabs>
          <w:tab w:val="num" w:pos="680"/>
        </w:tabs>
        <w:ind w:left="680" w:hanging="680"/>
      </w:pPr>
      <w:rPr>
        <w:rFonts w:cs="Times New Roman" w:hint="default"/>
      </w:rPr>
    </w:lvl>
    <w:lvl w:ilvl="8">
      <w:start w:val="1"/>
      <w:numFmt w:val="decimal"/>
      <w:lvlRestart w:val="0"/>
      <w:lvlText w:val=""/>
      <w:lvlJc w:val="left"/>
      <w:pPr>
        <w:tabs>
          <w:tab w:val="num" w:pos="0"/>
        </w:tabs>
        <w:ind w:left="0" w:firstLine="0"/>
      </w:pPr>
      <w:rPr>
        <w:rFonts w:cs="Times New Roman" w:hint="default"/>
      </w:rPr>
    </w:lvl>
  </w:abstractNum>
  <w:abstractNum w:abstractNumId="28" w15:restartNumberingAfterBreak="0">
    <w:nsid w:val="2E8C68E2"/>
    <w:multiLevelType w:val="multilevel"/>
    <w:tmpl w:val="81701622"/>
    <w:name w:val="HeadingListTemplate17"/>
    <w:lvl w:ilvl="0">
      <w:start w:val="1"/>
      <w:numFmt w:val="decimal"/>
      <w:lvlRestart w:val="0"/>
      <w:suff w:val="nothing"/>
      <w:lvlText w:val="Section %1"/>
      <w:lvlJc w:val="left"/>
      <w:pPr>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1"/>
      <w:lvlText w:val="%1.%4"/>
      <w:lvlJc w:val="left"/>
      <w:pPr>
        <w:tabs>
          <w:tab w:val="num" w:pos="680"/>
        </w:tabs>
        <w:ind w:left="680" w:hanging="680"/>
      </w:pPr>
      <w:rPr>
        <w:rFonts w:cs="Times New Roman" w:hint="default"/>
      </w:rPr>
    </w:lvl>
    <w:lvl w:ilvl="4">
      <w:start w:val="1"/>
      <w:numFmt w:val="lowerLetter"/>
      <w:lvlText w:val="%5."/>
      <w:lvlJc w:val="left"/>
      <w:pPr>
        <w:tabs>
          <w:tab w:val="num" w:pos="1020"/>
        </w:tabs>
        <w:ind w:left="1020" w:hanging="340"/>
      </w:pPr>
      <w:rPr>
        <w:rFonts w:cs="Times New Roman" w:hint="default"/>
      </w:rPr>
    </w:lvl>
    <w:lvl w:ilvl="5">
      <w:start w:val="1"/>
      <w:numFmt w:val="decimal"/>
      <w:lvlRestart w:val="4"/>
      <w:lvlText w:val="%1.%4.%6"/>
      <w:lvlJc w:val="left"/>
      <w:pPr>
        <w:tabs>
          <w:tab w:val="num" w:pos="1361"/>
        </w:tabs>
        <w:ind w:left="1361" w:hanging="681"/>
      </w:pPr>
      <w:rPr>
        <w:rFonts w:cs="Times New Roman" w:hint="default"/>
      </w:rPr>
    </w:lvl>
    <w:lvl w:ilvl="6">
      <w:start w:val="1"/>
      <w:numFmt w:val="lowerLetter"/>
      <w:lvlText w:val="%7."/>
      <w:lvlJc w:val="left"/>
      <w:pPr>
        <w:tabs>
          <w:tab w:val="num" w:pos="1701"/>
        </w:tabs>
        <w:ind w:left="1701" w:hanging="340"/>
      </w:pPr>
      <w:rPr>
        <w:rFonts w:cs="Times New Roman" w:hint="default"/>
      </w:rPr>
    </w:lvl>
    <w:lvl w:ilvl="7">
      <w:start w:val="1"/>
      <w:numFmt w:val="upperLetter"/>
      <w:lvlRestart w:val="0"/>
      <w:suff w:val="nothing"/>
      <w:lvlText w:val="Appendix %8"/>
      <w:lvlJc w:val="left"/>
      <w:pPr>
        <w:ind w:left="0" w:firstLine="0"/>
      </w:pPr>
      <w:rPr>
        <w:rFonts w:cs="Times New Roman" w:hint="default"/>
      </w:rPr>
    </w:lvl>
    <w:lvl w:ilvl="8">
      <w:start w:val="1"/>
      <w:numFmt w:val="decimal"/>
      <w:lvlText w:val="%8.%9"/>
      <w:lvlJc w:val="left"/>
      <w:pPr>
        <w:tabs>
          <w:tab w:val="num" w:pos="680"/>
        </w:tabs>
        <w:ind w:left="680" w:hanging="680"/>
      </w:pPr>
      <w:rPr>
        <w:rFonts w:cs="Times New Roman" w:hint="default"/>
      </w:rPr>
    </w:lvl>
  </w:abstractNum>
  <w:abstractNum w:abstractNumId="29" w15:restartNumberingAfterBreak="0">
    <w:nsid w:val="2FAC1A3D"/>
    <w:multiLevelType w:val="multilevel"/>
    <w:tmpl w:val="8EE2E804"/>
    <w:name w:val="HeadingListTemplate4"/>
    <w:lvl w:ilvl="0">
      <w:start w:val="1"/>
      <w:numFmt w:val="decimal"/>
      <w:lvlRestart w:val="0"/>
      <w:suff w:val="nothing"/>
      <w:lvlText w:val="Section %1"/>
      <w:lvlJc w:val="left"/>
      <w:pPr>
        <w:tabs>
          <w:tab w:val="num" w:pos="0"/>
        </w:tabs>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0"/>
      <w:lvlText w:val=""/>
      <w:lvlJc w:val="left"/>
      <w:pPr>
        <w:tabs>
          <w:tab w:val="num" w:pos="0"/>
        </w:tabs>
        <w:ind w:left="0" w:firstLine="0"/>
      </w:pPr>
      <w:rPr>
        <w:rFonts w:cs="Times New Roman" w:hint="default"/>
      </w:rPr>
    </w:lvl>
    <w:lvl w:ilvl="4">
      <w:start w:val="1"/>
      <w:numFmt w:val="decimal"/>
      <w:lvlText w:val="%1.%5"/>
      <w:lvlJc w:val="left"/>
      <w:pPr>
        <w:tabs>
          <w:tab w:val="num" w:pos="680"/>
        </w:tabs>
        <w:ind w:left="680" w:hanging="680"/>
      </w:pPr>
      <w:rPr>
        <w:rFonts w:cs="Times New Roman" w:hint="default"/>
      </w:rPr>
    </w:lvl>
    <w:lvl w:ilvl="5">
      <w:start w:val="1"/>
      <w:numFmt w:val="decimal"/>
      <w:lvlText w:val="%1.%5.%6"/>
      <w:lvlJc w:val="left"/>
      <w:pPr>
        <w:tabs>
          <w:tab w:val="num" w:pos="1361"/>
        </w:tabs>
        <w:ind w:left="1361" w:hanging="681"/>
      </w:pPr>
      <w:rPr>
        <w:rFonts w:cs="Times New Roman" w:hint="default"/>
      </w:rPr>
    </w:lvl>
    <w:lvl w:ilvl="6">
      <w:start w:val="1"/>
      <w:numFmt w:val="upperLetter"/>
      <w:lvlRestart w:val="0"/>
      <w:suff w:val="nothing"/>
      <w:lvlText w:val="Appendix %7"/>
      <w:lvlJc w:val="left"/>
      <w:pPr>
        <w:tabs>
          <w:tab w:val="num" w:pos="0"/>
        </w:tabs>
        <w:ind w:left="0" w:firstLine="0"/>
      </w:pPr>
      <w:rPr>
        <w:rFonts w:cs="Times New Roman" w:hint="default"/>
      </w:rPr>
    </w:lvl>
    <w:lvl w:ilvl="7">
      <w:start w:val="1"/>
      <w:numFmt w:val="decimal"/>
      <w:lvlText w:val="%7.%8"/>
      <w:lvlJc w:val="left"/>
      <w:pPr>
        <w:tabs>
          <w:tab w:val="num" w:pos="680"/>
        </w:tabs>
        <w:ind w:left="680" w:hanging="680"/>
      </w:pPr>
      <w:rPr>
        <w:rFonts w:cs="Times New Roman" w:hint="default"/>
      </w:rPr>
    </w:lvl>
    <w:lvl w:ilvl="8">
      <w:start w:val="1"/>
      <w:numFmt w:val="decimal"/>
      <w:lvlRestart w:val="0"/>
      <w:lvlText w:val=""/>
      <w:lvlJc w:val="left"/>
      <w:pPr>
        <w:tabs>
          <w:tab w:val="num" w:pos="0"/>
        </w:tabs>
        <w:ind w:left="0" w:firstLine="0"/>
      </w:pPr>
      <w:rPr>
        <w:rFonts w:cs="Times New Roman" w:hint="default"/>
      </w:rPr>
    </w:lvl>
  </w:abstractNum>
  <w:abstractNum w:abstractNumId="30" w15:restartNumberingAfterBreak="0">
    <w:nsid w:val="330505FA"/>
    <w:multiLevelType w:val="hybridMultilevel"/>
    <w:tmpl w:val="2DEE8A52"/>
    <w:lvl w:ilvl="0" w:tplc="92A8A90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3F56BAF"/>
    <w:multiLevelType w:val="multilevel"/>
    <w:tmpl w:val="1026F84E"/>
    <w:name w:val="HeadingListTemplate15"/>
    <w:lvl w:ilvl="0">
      <w:start w:val="1"/>
      <w:numFmt w:val="decimal"/>
      <w:lvlRestart w:val="0"/>
      <w:suff w:val="nothing"/>
      <w:lvlText w:val="Section %1"/>
      <w:lvlJc w:val="left"/>
      <w:pPr>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1"/>
      <w:lvlText w:val="%1.%4"/>
      <w:lvlJc w:val="left"/>
      <w:pPr>
        <w:tabs>
          <w:tab w:val="num" w:pos="680"/>
        </w:tabs>
        <w:ind w:left="680" w:hanging="680"/>
      </w:pPr>
      <w:rPr>
        <w:rFonts w:cs="Times New Roman" w:hint="default"/>
      </w:rPr>
    </w:lvl>
    <w:lvl w:ilvl="4">
      <w:start w:val="1"/>
      <w:numFmt w:val="lowerLetter"/>
      <w:lvlText w:val="%5."/>
      <w:lvlJc w:val="left"/>
      <w:pPr>
        <w:tabs>
          <w:tab w:val="num" w:pos="1020"/>
        </w:tabs>
        <w:ind w:left="1020" w:hanging="340"/>
      </w:pPr>
      <w:rPr>
        <w:rFonts w:cs="Times New Roman" w:hint="default"/>
      </w:rPr>
    </w:lvl>
    <w:lvl w:ilvl="5">
      <w:start w:val="1"/>
      <w:numFmt w:val="decimal"/>
      <w:lvlRestart w:val="4"/>
      <w:lvlText w:val="%1.%4.%6"/>
      <w:lvlJc w:val="left"/>
      <w:pPr>
        <w:tabs>
          <w:tab w:val="num" w:pos="1361"/>
        </w:tabs>
        <w:ind w:left="1361" w:hanging="681"/>
      </w:pPr>
      <w:rPr>
        <w:rFonts w:cs="Times New Roman" w:hint="default"/>
      </w:rPr>
    </w:lvl>
    <w:lvl w:ilvl="6">
      <w:start w:val="1"/>
      <w:numFmt w:val="lowerLetter"/>
      <w:lvlText w:val="%7."/>
      <w:lvlJc w:val="left"/>
      <w:pPr>
        <w:tabs>
          <w:tab w:val="num" w:pos="1701"/>
        </w:tabs>
        <w:ind w:left="1701" w:hanging="340"/>
      </w:pPr>
      <w:rPr>
        <w:rFonts w:cs="Times New Roman" w:hint="default"/>
      </w:rPr>
    </w:lvl>
    <w:lvl w:ilvl="7">
      <w:start w:val="1"/>
      <w:numFmt w:val="upperLetter"/>
      <w:lvlRestart w:val="0"/>
      <w:suff w:val="nothing"/>
      <w:lvlText w:val="Appendix %8"/>
      <w:lvlJc w:val="left"/>
      <w:pPr>
        <w:ind w:left="0" w:firstLine="0"/>
      </w:pPr>
      <w:rPr>
        <w:rFonts w:cs="Times New Roman" w:hint="default"/>
      </w:rPr>
    </w:lvl>
    <w:lvl w:ilvl="8">
      <w:start w:val="1"/>
      <w:numFmt w:val="decimal"/>
      <w:lvlText w:val="%8.%9"/>
      <w:lvlJc w:val="left"/>
      <w:pPr>
        <w:tabs>
          <w:tab w:val="num" w:pos="680"/>
        </w:tabs>
        <w:ind w:left="680" w:hanging="680"/>
      </w:pPr>
      <w:rPr>
        <w:rFonts w:cs="Times New Roman" w:hint="default"/>
      </w:rPr>
    </w:lvl>
  </w:abstractNum>
  <w:abstractNum w:abstractNumId="32" w15:restartNumberingAfterBreak="0">
    <w:nsid w:val="35814D3A"/>
    <w:multiLevelType w:val="hybridMultilevel"/>
    <w:tmpl w:val="04A23B68"/>
    <w:lvl w:ilvl="0" w:tplc="8C6ED43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6505F8"/>
    <w:multiLevelType w:val="multilevel"/>
    <w:tmpl w:val="6F407FDC"/>
    <w:lvl w:ilvl="0">
      <w:start w:val="1"/>
      <w:numFmt w:val="decimal"/>
      <w:suff w:val="nothing"/>
      <w:lvlText w:val=""/>
      <w:lvlJc w:val="left"/>
      <w:pPr>
        <w:tabs>
          <w:tab w:val="num" w:pos="0"/>
        </w:tabs>
        <w:ind w:left="0" w:firstLine="0"/>
      </w:pPr>
      <w:rPr>
        <w:rFonts w:cs="Times New Roman"/>
      </w:rPr>
    </w:lvl>
    <w:lvl w:ilvl="1">
      <w:start w:val="1"/>
      <w:numFmt w:val="decimal"/>
      <w:lvlText w:val="%2."/>
      <w:lvlJc w:val="left"/>
      <w:pPr>
        <w:tabs>
          <w:tab w:val="num" w:pos="340"/>
        </w:tabs>
        <w:ind w:left="340" w:hanging="340"/>
      </w:pPr>
    </w:lvl>
    <w:lvl w:ilvl="2">
      <w:start w:val="1"/>
      <w:numFmt w:val="lowerLetter"/>
      <w:lvlText w:val="%3."/>
      <w:lvlJc w:val="left"/>
      <w:pPr>
        <w:tabs>
          <w:tab w:val="num" w:pos="680"/>
        </w:tabs>
        <w:ind w:left="680" w:hanging="340"/>
      </w:pPr>
      <w:rPr>
        <w:b w:val="0"/>
        <w:i w:val="0"/>
      </w:rPr>
    </w:lvl>
    <w:lvl w:ilvl="3">
      <w:start w:val="1"/>
      <w:numFmt w:val="lowerRoman"/>
      <w:lvlRestart w:val="0"/>
      <w:lvlText w:val="%4."/>
      <w:lvlJc w:val="left"/>
      <w:pPr>
        <w:tabs>
          <w:tab w:val="num" w:pos="1020"/>
        </w:tabs>
        <w:ind w:left="1020" w:hanging="340"/>
      </w:pPr>
      <w:rPr>
        <w:b w:val="0"/>
        <w:i w:val="0"/>
      </w:rPr>
    </w:lvl>
    <w:lvl w:ilvl="4">
      <w:start w:val="1"/>
      <w:numFmt w:val="upperLetter"/>
      <w:lvlText w:val="%5."/>
      <w:lvlJc w:val="left"/>
      <w:pPr>
        <w:tabs>
          <w:tab w:val="num" w:pos="340"/>
        </w:tabs>
        <w:ind w:left="340" w:hanging="340"/>
      </w:pPr>
      <w:rPr>
        <w:b w:val="0"/>
        <w:i w:val="0"/>
      </w:rPr>
    </w:lvl>
    <w:lvl w:ilvl="5">
      <w:start w:val="1"/>
      <w:numFmt w:val="lowerLetter"/>
      <w:lvlText w:val="%6."/>
      <w:lvlJc w:val="left"/>
      <w:pPr>
        <w:tabs>
          <w:tab w:val="num" w:pos="340"/>
        </w:tabs>
        <w:ind w:left="340" w:hanging="340"/>
      </w:pPr>
      <w:rPr>
        <w:b w:val="0"/>
        <w:i w:val="0"/>
      </w:rPr>
    </w:lvl>
    <w:lvl w:ilvl="6">
      <w:start w:val="1"/>
      <w:numFmt w:val="decimal"/>
      <w:lvlRestart w:val="0"/>
      <w:pStyle w:val="TableCenter"/>
      <w:lvlText w:val=""/>
      <w:lvlJc w:val="left"/>
      <w:pPr>
        <w:tabs>
          <w:tab w:val="num" w:pos="0"/>
        </w:tabs>
        <w:ind w:left="0" w:firstLine="0"/>
      </w:pPr>
      <w:rPr>
        <w:b w:val="0"/>
        <w:i w:val="0"/>
      </w:rPr>
    </w:lvl>
    <w:lvl w:ilvl="7">
      <w:start w:val="1"/>
      <w:numFmt w:val="decimal"/>
      <w:lvlRestart w:val="0"/>
      <w:pStyle w:val="TableRight"/>
      <w:lvlText w:val=""/>
      <w:lvlJc w:val="left"/>
      <w:pPr>
        <w:tabs>
          <w:tab w:val="num" w:pos="0"/>
        </w:tabs>
        <w:ind w:left="0" w:firstLine="0"/>
      </w:pPr>
      <w:rPr>
        <w:b w:val="0"/>
        <w:i w:val="0"/>
      </w:rPr>
    </w:lvl>
    <w:lvl w:ilvl="8">
      <w:start w:val="1"/>
      <w:numFmt w:val="decimal"/>
      <w:lvlRestart w:val="0"/>
      <w:lvlText w:val=""/>
      <w:lvlJc w:val="left"/>
      <w:pPr>
        <w:tabs>
          <w:tab w:val="num" w:pos="0"/>
        </w:tabs>
        <w:ind w:left="0" w:firstLine="0"/>
      </w:pPr>
      <w:rPr>
        <w:b w:val="0"/>
        <w:i w:val="0"/>
      </w:rPr>
    </w:lvl>
  </w:abstractNum>
  <w:abstractNum w:abstractNumId="34" w15:restartNumberingAfterBreak="0">
    <w:nsid w:val="36F04F85"/>
    <w:multiLevelType w:val="hybridMultilevel"/>
    <w:tmpl w:val="C1209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3778D4"/>
    <w:multiLevelType w:val="multilevel"/>
    <w:tmpl w:val="F210FC28"/>
    <w:name w:val="BulletListTemplate"/>
    <w:lvl w:ilvl="0">
      <w:start w:val="1"/>
      <w:numFmt w:val="decimal"/>
      <w:lvlText w:val="l"/>
      <w:lvlJc w:val="left"/>
      <w:pPr>
        <w:tabs>
          <w:tab w:val="num" w:pos="460"/>
        </w:tabs>
        <w:ind w:left="460" w:hanging="460"/>
      </w:pPr>
      <w:rPr>
        <w:rFonts w:ascii="Wingdings" w:hAnsi="Wingdings" w:hint="default"/>
        <w:color w:val="000000"/>
        <w:sz w:val="18"/>
      </w:rPr>
    </w:lvl>
    <w:lvl w:ilvl="1">
      <w:start w:val="1"/>
      <w:numFmt w:val="lowerLetter"/>
      <w:lvlText w:val="–"/>
      <w:lvlJc w:val="left"/>
      <w:pPr>
        <w:tabs>
          <w:tab w:val="num" w:pos="900"/>
        </w:tabs>
        <w:ind w:left="900" w:hanging="440"/>
      </w:pPr>
      <w:rPr>
        <w:rFonts w:ascii="Arial" w:hAnsi="Arial" w:cs="Arial"/>
        <w:color w:val="000000"/>
      </w:rPr>
    </w:lvl>
    <w:lvl w:ilvl="2">
      <w:start w:val="1"/>
      <w:numFmt w:val="lowerRoman"/>
      <w:lvlText w:val="l"/>
      <w:lvlJc w:val="left"/>
      <w:pPr>
        <w:tabs>
          <w:tab w:val="num" w:pos="1360"/>
        </w:tabs>
        <w:ind w:left="1360" w:hanging="460"/>
      </w:pPr>
      <w:rPr>
        <w:rFonts w:ascii="Wingdings" w:hAnsi="Wingdings" w:hint="default"/>
        <w:color w:val="000000"/>
        <w:sz w:val="18"/>
      </w:rPr>
    </w:lvl>
    <w:lvl w:ilvl="3">
      <w:start w:val="1"/>
      <w:numFmt w:val="decimal"/>
      <w:lvlText w:val="–"/>
      <w:lvlJc w:val="left"/>
      <w:pPr>
        <w:tabs>
          <w:tab w:val="num" w:pos="1820"/>
        </w:tabs>
        <w:ind w:left="1820" w:hanging="460"/>
      </w:pPr>
      <w:rPr>
        <w:rFonts w:ascii="Arial" w:hAnsi="Arial" w:cs="Arial"/>
        <w:color w:val="000000"/>
      </w:rPr>
    </w:lvl>
    <w:lvl w:ilvl="4">
      <w:start w:val="1"/>
      <w:numFmt w:val="lowerLetter"/>
      <w:lvlText w:val="l"/>
      <w:lvlJc w:val="left"/>
      <w:pPr>
        <w:tabs>
          <w:tab w:val="num" w:pos="1020"/>
        </w:tabs>
        <w:ind w:left="1020" w:hanging="340"/>
      </w:pPr>
      <w:rPr>
        <w:rFonts w:ascii="Wingdings" w:hAnsi="Wingdings" w:hint="default"/>
        <w:color w:val="000000"/>
        <w:sz w:val="18"/>
      </w:rPr>
    </w:lvl>
    <w:lvl w:ilvl="5">
      <w:start w:val="1"/>
      <w:numFmt w:val="lowerRoman"/>
      <w:lvlText w:val="–"/>
      <w:lvlJc w:val="left"/>
      <w:pPr>
        <w:tabs>
          <w:tab w:val="num" w:pos="1360"/>
        </w:tabs>
        <w:ind w:left="1360" w:hanging="340"/>
      </w:pPr>
      <w:rPr>
        <w:rFonts w:ascii="Arial" w:hAnsi="Arial" w:cs="Arial"/>
        <w:color w:val="000000"/>
      </w:rPr>
    </w:lvl>
    <w:lvl w:ilvl="6">
      <w:start w:val="1"/>
      <w:numFmt w:val="decimal"/>
      <w:lvlText w:val=""/>
      <w:lvlJc w:val="left"/>
      <w:pPr>
        <w:tabs>
          <w:tab w:val="num" w:pos="0"/>
        </w:tabs>
        <w:ind w:left="0" w:firstLine="0"/>
      </w:pPr>
      <w:rPr>
        <w:color w:val="000000"/>
      </w:rPr>
    </w:lvl>
    <w:lvl w:ilvl="7">
      <w:start w:val="1"/>
      <w:numFmt w:val="lowerLetter"/>
      <w:lvlText w:val=""/>
      <w:lvlJc w:val="left"/>
      <w:pPr>
        <w:tabs>
          <w:tab w:val="num" w:pos="0"/>
        </w:tabs>
        <w:ind w:left="0" w:firstLine="0"/>
      </w:pPr>
      <w:rPr>
        <w:color w:val="000000"/>
      </w:rPr>
    </w:lvl>
    <w:lvl w:ilvl="8">
      <w:start w:val="1"/>
      <w:numFmt w:val="lowerRoman"/>
      <w:lvlText w:val=""/>
      <w:lvlJc w:val="left"/>
      <w:pPr>
        <w:tabs>
          <w:tab w:val="num" w:pos="0"/>
        </w:tabs>
        <w:ind w:left="0" w:firstLine="0"/>
      </w:pPr>
      <w:rPr>
        <w:color w:val="000000"/>
      </w:rPr>
    </w:lvl>
  </w:abstractNum>
  <w:abstractNum w:abstractNumId="36" w15:restartNumberingAfterBreak="0">
    <w:nsid w:val="3D1E65EB"/>
    <w:multiLevelType w:val="hybridMultilevel"/>
    <w:tmpl w:val="E7009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987B98"/>
    <w:multiLevelType w:val="multilevel"/>
    <w:tmpl w:val="8CD09B82"/>
    <w:name w:val="HeadingListTemplate3"/>
    <w:lvl w:ilvl="0">
      <w:start w:val="1"/>
      <w:numFmt w:val="decimal"/>
      <w:lvlRestart w:val="0"/>
      <w:suff w:val="nothing"/>
      <w:lvlText w:val="Section %1"/>
      <w:lvlJc w:val="left"/>
      <w:pPr>
        <w:tabs>
          <w:tab w:val="num" w:pos="0"/>
        </w:tabs>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0"/>
      <w:lvlText w:val=""/>
      <w:lvlJc w:val="left"/>
      <w:pPr>
        <w:tabs>
          <w:tab w:val="num" w:pos="0"/>
        </w:tabs>
        <w:ind w:left="0" w:firstLine="0"/>
      </w:pPr>
      <w:rPr>
        <w:rFonts w:cs="Times New Roman" w:hint="default"/>
      </w:rPr>
    </w:lvl>
    <w:lvl w:ilvl="4">
      <w:start w:val="1"/>
      <w:numFmt w:val="decimal"/>
      <w:lvlText w:val="%1.%5"/>
      <w:lvlJc w:val="left"/>
      <w:pPr>
        <w:tabs>
          <w:tab w:val="num" w:pos="680"/>
        </w:tabs>
        <w:ind w:left="680" w:hanging="680"/>
      </w:pPr>
      <w:rPr>
        <w:rFonts w:cs="Times New Roman" w:hint="default"/>
      </w:rPr>
    </w:lvl>
    <w:lvl w:ilvl="5">
      <w:start w:val="1"/>
      <w:numFmt w:val="decimal"/>
      <w:lvlText w:val="%1.%5.%6"/>
      <w:lvlJc w:val="left"/>
      <w:pPr>
        <w:tabs>
          <w:tab w:val="num" w:pos="1361"/>
        </w:tabs>
        <w:ind w:left="1361" w:hanging="681"/>
      </w:pPr>
      <w:rPr>
        <w:rFonts w:cs="Times New Roman" w:hint="default"/>
      </w:rPr>
    </w:lvl>
    <w:lvl w:ilvl="6">
      <w:start w:val="1"/>
      <w:numFmt w:val="upperLetter"/>
      <w:lvlRestart w:val="0"/>
      <w:suff w:val="nothing"/>
      <w:lvlText w:val="Appendix %7"/>
      <w:lvlJc w:val="left"/>
      <w:pPr>
        <w:tabs>
          <w:tab w:val="num" w:pos="0"/>
        </w:tabs>
        <w:ind w:left="0" w:firstLine="0"/>
      </w:pPr>
      <w:rPr>
        <w:rFonts w:cs="Times New Roman" w:hint="default"/>
      </w:rPr>
    </w:lvl>
    <w:lvl w:ilvl="7">
      <w:start w:val="1"/>
      <w:numFmt w:val="decimal"/>
      <w:lvlText w:val="%7.%8"/>
      <w:lvlJc w:val="left"/>
      <w:pPr>
        <w:tabs>
          <w:tab w:val="num" w:pos="680"/>
        </w:tabs>
        <w:ind w:left="680" w:hanging="680"/>
      </w:pPr>
      <w:rPr>
        <w:rFonts w:cs="Times New Roman" w:hint="default"/>
      </w:rPr>
    </w:lvl>
    <w:lvl w:ilvl="8">
      <w:start w:val="1"/>
      <w:numFmt w:val="decimal"/>
      <w:lvlRestart w:val="0"/>
      <w:lvlText w:val=""/>
      <w:lvlJc w:val="left"/>
      <w:pPr>
        <w:tabs>
          <w:tab w:val="num" w:pos="0"/>
        </w:tabs>
        <w:ind w:left="0" w:firstLine="0"/>
      </w:pPr>
      <w:rPr>
        <w:rFonts w:cs="Times New Roman" w:hint="default"/>
      </w:rPr>
    </w:lvl>
  </w:abstractNum>
  <w:abstractNum w:abstractNumId="38" w15:restartNumberingAfterBreak="0">
    <w:nsid w:val="40B11026"/>
    <w:multiLevelType w:val="multilevel"/>
    <w:tmpl w:val="0809001D"/>
    <w:name w:val="zxcvzcx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43653A42"/>
    <w:multiLevelType w:val="hybridMultilevel"/>
    <w:tmpl w:val="63B8EBA4"/>
    <w:lvl w:ilvl="0" w:tplc="00AE4C74">
      <w:numFmt w:val="decimal"/>
      <w:lvlText w:val="%1."/>
      <w:lvlJc w:val="left"/>
      <w:pPr>
        <w:ind w:left="1020" w:hanging="6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5593481"/>
    <w:multiLevelType w:val="multilevel"/>
    <w:tmpl w:val="534CDEBC"/>
    <w:name w:val="HeadingListTemplate19"/>
    <w:lvl w:ilvl="0">
      <w:start w:val="1"/>
      <w:numFmt w:val="decimal"/>
      <w:lvlRestart w:val="0"/>
      <w:suff w:val="nothing"/>
      <w:lvlText w:val="Section %1"/>
      <w:lvlJc w:val="left"/>
      <w:pPr>
        <w:tabs>
          <w:tab w:val="num" w:pos="0"/>
        </w:tabs>
        <w:ind w:left="0" w:firstLine="0"/>
      </w:pPr>
      <w:rPr>
        <w:rFonts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hint="default"/>
      </w:rPr>
    </w:lvl>
    <w:lvl w:ilvl="3">
      <w:start w:val="1"/>
      <w:numFmt w:val="decimal"/>
      <w:lvlText w:val="%1.%4"/>
      <w:lvlJc w:val="left"/>
      <w:pPr>
        <w:tabs>
          <w:tab w:val="num" w:pos="680"/>
        </w:tabs>
        <w:ind w:left="680" w:hanging="680"/>
      </w:pPr>
      <w:rPr>
        <w:rFonts w:hint="default"/>
      </w:rPr>
    </w:lvl>
    <w:lvl w:ilvl="4">
      <w:start w:val="1"/>
      <w:numFmt w:val="lowerLetter"/>
      <w:lvlText w:val="%5"/>
      <w:lvlJc w:val="left"/>
      <w:pPr>
        <w:tabs>
          <w:tab w:val="num" w:pos="1020"/>
        </w:tabs>
        <w:ind w:left="1020" w:hanging="340"/>
      </w:pPr>
      <w:rPr>
        <w:rFonts w:hint="default"/>
      </w:rPr>
    </w:lvl>
    <w:lvl w:ilvl="5">
      <w:start w:val="1"/>
      <w:numFmt w:val="decimal"/>
      <w:lvlText w:val="%1.%4.%6"/>
      <w:lvlJc w:val="left"/>
      <w:pPr>
        <w:tabs>
          <w:tab w:val="num" w:pos="1361"/>
        </w:tabs>
        <w:ind w:left="1361" w:hanging="681"/>
      </w:pPr>
      <w:rPr>
        <w:rFonts w:hint="default"/>
      </w:rPr>
    </w:lvl>
    <w:lvl w:ilvl="6">
      <w:start w:val="1"/>
      <w:numFmt w:val="lowerLetter"/>
      <w:lvlText w:val="%7"/>
      <w:lvlJc w:val="left"/>
      <w:pPr>
        <w:tabs>
          <w:tab w:val="num" w:pos="1701"/>
        </w:tabs>
        <w:ind w:left="1701" w:hanging="340"/>
      </w:pPr>
      <w:rPr>
        <w:rFonts w:hint="default"/>
      </w:rPr>
    </w:lvl>
    <w:lvl w:ilvl="7">
      <w:start w:val="1"/>
      <w:numFmt w:val="upperLetter"/>
      <w:lvlRestart w:val="0"/>
      <w:suff w:val="nothing"/>
      <w:lvlText w:val="Appendix %8"/>
      <w:lvlJc w:val="left"/>
      <w:pPr>
        <w:tabs>
          <w:tab w:val="num" w:pos="0"/>
        </w:tabs>
        <w:ind w:left="0" w:firstLine="0"/>
      </w:pPr>
      <w:rPr>
        <w:rFonts w:hint="default"/>
      </w:rPr>
    </w:lvl>
    <w:lvl w:ilvl="8">
      <w:start w:val="1"/>
      <w:numFmt w:val="decimal"/>
      <w:lvlText w:val="%8.%9"/>
      <w:lvlJc w:val="left"/>
      <w:pPr>
        <w:tabs>
          <w:tab w:val="num" w:pos="680"/>
        </w:tabs>
        <w:ind w:left="680" w:hanging="680"/>
      </w:pPr>
      <w:rPr>
        <w:rFonts w:hint="default"/>
      </w:rPr>
    </w:lvl>
  </w:abstractNum>
  <w:abstractNum w:abstractNumId="41" w15:restartNumberingAfterBreak="0">
    <w:nsid w:val="49396196"/>
    <w:multiLevelType w:val="hybridMultilevel"/>
    <w:tmpl w:val="07F6E6D4"/>
    <w:lvl w:ilvl="0" w:tplc="08090001">
      <w:start w:val="1"/>
      <w:numFmt w:val="bullet"/>
      <w:lvlText w:val=""/>
      <w:lvlJc w:val="left"/>
      <w:pPr>
        <w:ind w:left="-351" w:hanging="360"/>
      </w:pPr>
      <w:rPr>
        <w:rFonts w:ascii="Symbol" w:hAnsi="Symbol"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42" w15:restartNumberingAfterBreak="0">
    <w:nsid w:val="49690754"/>
    <w:multiLevelType w:val="hybridMultilevel"/>
    <w:tmpl w:val="BDA273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9C1396E"/>
    <w:multiLevelType w:val="multilevel"/>
    <w:tmpl w:val="0809001D"/>
    <w:name w:val="zxcvzcx2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4A4F7B48"/>
    <w:multiLevelType w:val="hybridMultilevel"/>
    <w:tmpl w:val="10A8594E"/>
    <w:lvl w:ilvl="0" w:tplc="90D0F49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674661E"/>
    <w:multiLevelType w:val="multilevel"/>
    <w:tmpl w:val="0809001D"/>
    <w:name w:val="zxcvzcx22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58395E18"/>
    <w:multiLevelType w:val="hybridMultilevel"/>
    <w:tmpl w:val="EBACA37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7" w15:restartNumberingAfterBreak="0">
    <w:nsid w:val="59293E6A"/>
    <w:multiLevelType w:val="multilevel"/>
    <w:tmpl w:val="0809001D"/>
    <w:name w:val="zxcvzcx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59DE7047"/>
    <w:multiLevelType w:val="multilevel"/>
    <w:tmpl w:val="0809001D"/>
    <w:name w:val="zxcvzcx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5C4A50DF"/>
    <w:multiLevelType w:val="multilevel"/>
    <w:tmpl w:val="B8B0E380"/>
    <w:lvl w:ilvl="0">
      <w:start w:val="1"/>
      <w:numFmt w:val="decimal"/>
      <w:lvlRestart w:val="0"/>
      <w:pStyle w:val="Heading1"/>
      <w:lvlText w:val="%1"/>
      <w:lvlJc w:val="left"/>
      <w:pPr>
        <w:tabs>
          <w:tab w:val="num" w:pos="907"/>
        </w:tabs>
        <w:ind w:left="907" w:hanging="907"/>
      </w:pPr>
      <w:rPr>
        <w:rFonts w:cs="Times New Roman" w:hint="default"/>
      </w:rPr>
    </w:lvl>
    <w:lvl w:ilvl="1">
      <w:start w:val="1"/>
      <w:numFmt w:val="decimal"/>
      <w:lvlText w:val="%1.%2"/>
      <w:lvlJc w:val="left"/>
      <w:pPr>
        <w:tabs>
          <w:tab w:val="num" w:pos="907"/>
        </w:tabs>
        <w:ind w:left="907" w:hanging="907"/>
      </w:pPr>
      <w:rPr>
        <w:rFonts w:cs="Times New Roman" w:hint="default"/>
      </w:rPr>
    </w:lvl>
    <w:lvl w:ilvl="2">
      <w:start w:val="1"/>
      <w:numFmt w:val="decimal"/>
      <w:lvlText w:val="%1.%2.%3"/>
      <w:lvlJc w:val="left"/>
      <w:pPr>
        <w:tabs>
          <w:tab w:val="num" w:pos="907"/>
        </w:tabs>
        <w:ind w:left="907" w:hanging="907"/>
      </w:pPr>
      <w:rPr>
        <w:rFonts w:cs="Times New Roman" w:hint="default"/>
      </w:rPr>
    </w:lvl>
    <w:lvl w:ilvl="3">
      <w:start w:val="1"/>
      <w:numFmt w:val="decimal"/>
      <w:pStyle w:val="Heading4"/>
      <w:lvlText w:val="%1.%4"/>
      <w:lvlJc w:val="left"/>
      <w:pPr>
        <w:tabs>
          <w:tab w:val="num" w:pos="3459"/>
        </w:tabs>
        <w:ind w:left="3459" w:hanging="907"/>
      </w:pPr>
      <w:rPr>
        <w:rFonts w:cs="Times New Roman" w:hint="default"/>
      </w:rPr>
    </w:lvl>
    <w:lvl w:ilvl="4">
      <w:start w:val="1"/>
      <w:numFmt w:val="lowerLetter"/>
      <w:pStyle w:val="Heading5"/>
      <w:lvlText w:val="%5"/>
      <w:lvlJc w:val="left"/>
      <w:pPr>
        <w:tabs>
          <w:tab w:val="num" w:pos="1361"/>
        </w:tabs>
        <w:ind w:left="1361" w:hanging="454"/>
      </w:pPr>
      <w:rPr>
        <w:rFonts w:cs="Times New Roman" w:hint="default"/>
      </w:rPr>
    </w:lvl>
    <w:lvl w:ilvl="5">
      <w:start w:val="1"/>
      <w:numFmt w:val="decimal"/>
      <w:pStyle w:val="Heading6"/>
      <w:lvlText w:val="%1.%4.%6"/>
      <w:lvlJc w:val="left"/>
      <w:pPr>
        <w:tabs>
          <w:tab w:val="num" w:pos="1814"/>
        </w:tabs>
        <w:ind w:left="1814" w:hanging="907"/>
      </w:pPr>
      <w:rPr>
        <w:rFonts w:cs="Times New Roman" w:hint="default"/>
      </w:rPr>
    </w:lvl>
    <w:lvl w:ilvl="6">
      <w:start w:val="1"/>
      <w:numFmt w:val="lowerLetter"/>
      <w:pStyle w:val="Heading7"/>
      <w:lvlText w:val="%7"/>
      <w:lvlJc w:val="left"/>
      <w:pPr>
        <w:tabs>
          <w:tab w:val="num" w:pos="2268"/>
        </w:tabs>
        <w:ind w:left="2268" w:hanging="454"/>
      </w:pPr>
      <w:rPr>
        <w:rFonts w:cs="Times New Roman" w:hint="default"/>
      </w:rPr>
    </w:lvl>
    <w:lvl w:ilvl="7">
      <w:start w:val="1"/>
      <w:numFmt w:val="upperLetter"/>
      <w:lvlRestart w:val="0"/>
      <w:pStyle w:val="Heading8"/>
      <w:suff w:val="nothing"/>
      <w:lvlText w:val="Appendix %8"/>
      <w:lvlJc w:val="left"/>
      <w:pPr>
        <w:ind w:left="0" w:firstLine="0"/>
      </w:pPr>
      <w:rPr>
        <w:rFonts w:cs="Times New Roman" w:hint="default"/>
      </w:rPr>
    </w:lvl>
    <w:lvl w:ilvl="8">
      <w:start w:val="1"/>
      <w:numFmt w:val="decimal"/>
      <w:pStyle w:val="Heading9"/>
      <w:lvlText w:val="%8.%9"/>
      <w:lvlJc w:val="left"/>
      <w:pPr>
        <w:tabs>
          <w:tab w:val="num" w:pos="907"/>
        </w:tabs>
        <w:ind w:left="907" w:hanging="907"/>
      </w:pPr>
      <w:rPr>
        <w:rFonts w:cs="Times New Roman" w:hint="default"/>
      </w:rPr>
    </w:lvl>
  </w:abstractNum>
  <w:abstractNum w:abstractNumId="50" w15:restartNumberingAfterBreak="0">
    <w:nsid w:val="5D316681"/>
    <w:multiLevelType w:val="multilevel"/>
    <w:tmpl w:val="8F042E8C"/>
    <w:name w:val="HeadingListTemplate2"/>
    <w:lvl w:ilvl="0">
      <w:start w:val="1"/>
      <w:numFmt w:val="decimal"/>
      <w:lvlRestart w:val="0"/>
      <w:suff w:val="nothing"/>
      <w:lvlText w:val="Section %1"/>
      <w:lvlJc w:val="left"/>
      <w:pPr>
        <w:tabs>
          <w:tab w:val="num" w:pos="0"/>
        </w:tabs>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0"/>
      <w:lvlText w:val=""/>
      <w:lvlJc w:val="left"/>
      <w:pPr>
        <w:tabs>
          <w:tab w:val="num" w:pos="0"/>
        </w:tabs>
        <w:ind w:left="0" w:firstLine="0"/>
      </w:pPr>
      <w:rPr>
        <w:rFonts w:cs="Times New Roman" w:hint="default"/>
      </w:rPr>
    </w:lvl>
    <w:lvl w:ilvl="4">
      <w:start w:val="1"/>
      <w:numFmt w:val="decimal"/>
      <w:lvlText w:val="%1.%5"/>
      <w:lvlJc w:val="left"/>
      <w:pPr>
        <w:tabs>
          <w:tab w:val="num" w:pos="680"/>
        </w:tabs>
        <w:ind w:left="680" w:hanging="680"/>
      </w:pPr>
      <w:rPr>
        <w:rFonts w:cs="Times New Roman" w:hint="default"/>
      </w:rPr>
    </w:lvl>
    <w:lvl w:ilvl="5">
      <w:start w:val="1"/>
      <w:numFmt w:val="decimal"/>
      <w:lvlText w:val="%1.%5.%6"/>
      <w:lvlJc w:val="left"/>
      <w:pPr>
        <w:tabs>
          <w:tab w:val="num" w:pos="1361"/>
        </w:tabs>
        <w:ind w:left="1361" w:hanging="681"/>
      </w:pPr>
      <w:rPr>
        <w:rFonts w:cs="Times New Roman" w:hint="default"/>
      </w:rPr>
    </w:lvl>
    <w:lvl w:ilvl="6">
      <w:start w:val="1"/>
      <w:numFmt w:val="upperLetter"/>
      <w:lvlRestart w:val="0"/>
      <w:suff w:val="nothing"/>
      <w:lvlText w:val="Appendix %7"/>
      <w:lvlJc w:val="left"/>
      <w:pPr>
        <w:tabs>
          <w:tab w:val="num" w:pos="0"/>
        </w:tabs>
        <w:ind w:left="0" w:firstLine="0"/>
      </w:pPr>
      <w:rPr>
        <w:rFonts w:cs="Times New Roman" w:hint="default"/>
      </w:rPr>
    </w:lvl>
    <w:lvl w:ilvl="7">
      <w:start w:val="1"/>
      <w:numFmt w:val="decimal"/>
      <w:lvlText w:val="%7.%8"/>
      <w:lvlJc w:val="left"/>
      <w:pPr>
        <w:tabs>
          <w:tab w:val="num" w:pos="680"/>
        </w:tabs>
        <w:ind w:left="680" w:hanging="680"/>
      </w:pPr>
      <w:rPr>
        <w:rFonts w:cs="Times New Roman" w:hint="default"/>
      </w:rPr>
    </w:lvl>
    <w:lvl w:ilvl="8">
      <w:start w:val="1"/>
      <w:numFmt w:val="decimal"/>
      <w:lvlRestart w:val="0"/>
      <w:lvlText w:val=""/>
      <w:lvlJc w:val="left"/>
      <w:pPr>
        <w:tabs>
          <w:tab w:val="num" w:pos="0"/>
        </w:tabs>
        <w:ind w:left="0" w:firstLine="0"/>
      </w:pPr>
      <w:rPr>
        <w:rFonts w:cs="Times New Roman" w:hint="default"/>
      </w:rPr>
    </w:lvl>
  </w:abstractNum>
  <w:abstractNum w:abstractNumId="51" w15:restartNumberingAfterBreak="0">
    <w:nsid w:val="5E1C327A"/>
    <w:multiLevelType w:val="multilevel"/>
    <w:tmpl w:val="A964EC10"/>
    <w:name w:val="HeadingListTemplate16"/>
    <w:lvl w:ilvl="0">
      <w:start w:val="1"/>
      <w:numFmt w:val="decimal"/>
      <w:lvlRestart w:val="0"/>
      <w:suff w:val="nothing"/>
      <w:lvlText w:val="Section %1"/>
      <w:lvlJc w:val="left"/>
      <w:pPr>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1"/>
      <w:lvlText w:val="%1.%4"/>
      <w:lvlJc w:val="left"/>
      <w:pPr>
        <w:tabs>
          <w:tab w:val="num" w:pos="680"/>
        </w:tabs>
        <w:ind w:left="680" w:hanging="680"/>
      </w:pPr>
      <w:rPr>
        <w:rFonts w:cs="Times New Roman" w:hint="default"/>
      </w:rPr>
    </w:lvl>
    <w:lvl w:ilvl="4">
      <w:start w:val="1"/>
      <w:numFmt w:val="lowerLetter"/>
      <w:lvlText w:val="%5."/>
      <w:lvlJc w:val="left"/>
      <w:pPr>
        <w:tabs>
          <w:tab w:val="num" w:pos="1020"/>
        </w:tabs>
        <w:ind w:left="1020" w:hanging="340"/>
      </w:pPr>
      <w:rPr>
        <w:rFonts w:cs="Times New Roman" w:hint="default"/>
      </w:rPr>
    </w:lvl>
    <w:lvl w:ilvl="5">
      <w:start w:val="1"/>
      <w:numFmt w:val="decimal"/>
      <w:lvlRestart w:val="4"/>
      <w:lvlText w:val="%1.%4.%6"/>
      <w:lvlJc w:val="left"/>
      <w:pPr>
        <w:tabs>
          <w:tab w:val="num" w:pos="1361"/>
        </w:tabs>
        <w:ind w:left="1361" w:hanging="681"/>
      </w:pPr>
      <w:rPr>
        <w:rFonts w:cs="Times New Roman" w:hint="default"/>
      </w:rPr>
    </w:lvl>
    <w:lvl w:ilvl="6">
      <w:start w:val="1"/>
      <w:numFmt w:val="lowerLetter"/>
      <w:lvlText w:val="%7."/>
      <w:lvlJc w:val="left"/>
      <w:pPr>
        <w:tabs>
          <w:tab w:val="num" w:pos="1701"/>
        </w:tabs>
        <w:ind w:left="1701" w:hanging="340"/>
      </w:pPr>
      <w:rPr>
        <w:rFonts w:cs="Times New Roman" w:hint="default"/>
      </w:rPr>
    </w:lvl>
    <w:lvl w:ilvl="7">
      <w:start w:val="1"/>
      <w:numFmt w:val="upperLetter"/>
      <w:lvlRestart w:val="0"/>
      <w:suff w:val="nothing"/>
      <w:lvlText w:val="Appendix %8"/>
      <w:lvlJc w:val="left"/>
      <w:pPr>
        <w:ind w:left="0" w:firstLine="0"/>
      </w:pPr>
      <w:rPr>
        <w:rFonts w:cs="Times New Roman" w:hint="default"/>
      </w:rPr>
    </w:lvl>
    <w:lvl w:ilvl="8">
      <w:start w:val="1"/>
      <w:numFmt w:val="decimal"/>
      <w:lvlText w:val="%8.%9"/>
      <w:lvlJc w:val="left"/>
      <w:pPr>
        <w:tabs>
          <w:tab w:val="num" w:pos="680"/>
        </w:tabs>
        <w:ind w:left="680" w:hanging="680"/>
      </w:pPr>
      <w:rPr>
        <w:rFonts w:cs="Times New Roman" w:hint="default"/>
      </w:rPr>
    </w:lvl>
  </w:abstractNum>
  <w:abstractNum w:abstractNumId="52" w15:restartNumberingAfterBreak="0">
    <w:nsid w:val="5E2861E3"/>
    <w:multiLevelType w:val="multilevel"/>
    <w:tmpl w:val="1564DD5C"/>
    <w:name w:val="HeadingListTemplate7"/>
    <w:lvl w:ilvl="0">
      <w:start w:val="1"/>
      <w:numFmt w:val="decimal"/>
      <w:lvlRestart w:val="0"/>
      <w:suff w:val="nothing"/>
      <w:lvlText w:val="Section %1"/>
      <w:lvlJc w:val="left"/>
      <w:pPr>
        <w:tabs>
          <w:tab w:val="num" w:pos="0"/>
        </w:tabs>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0"/>
      <w:lvlText w:val=""/>
      <w:lvlJc w:val="left"/>
      <w:pPr>
        <w:tabs>
          <w:tab w:val="num" w:pos="0"/>
        </w:tabs>
        <w:ind w:left="0" w:firstLine="0"/>
      </w:pPr>
      <w:rPr>
        <w:rFonts w:cs="Times New Roman" w:hint="default"/>
      </w:rPr>
    </w:lvl>
    <w:lvl w:ilvl="4">
      <w:start w:val="1"/>
      <w:numFmt w:val="decimal"/>
      <w:lvlText w:val="%1.%5"/>
      <w:lvlJc w:val="left"/>
      <w:pPr>
        <w:tabs>
          <w:tab w:val="num" w:pos="680"/>
        </w:tabs>
        <w:ind w:left="680" w:hanging="680"/>
      </w:pPr>
      <w:rPr>
        <w:rFonts w:cs="Times New Roman" w:hint="default"/>
      </w:rPr>
    </w:lvl>
    <w:lvl w:ilvl="5">
      <w:start w:val="1"/>
      <w:numFmt w:val="decimal"/>
      <w:lvlText w:val="%1.%5.%6"/>
      <w:lvlJc w:val="left"/>
      <w:pPr>
        <w:tabs>
          <w:tab w:val="num" w:pos="1361"/>
        </w:tabs>
        <w:ind w:left="1361" w:hanging="681"/>
      </w:pPr>
      <w:rPr>
        <w:rFonts w:cs="Times New Roman" w:hint="default"/>
      </w:rPr>
    </w:lvl>
    <w:lvl w:ilvl="6">
      <w:start w:val="1"/>
      <w:numFmt w:val="upperLetter"/>
      <w:lvlRestart w:val="0"/>
      <w:suff w:val="nothing"/>
      <w:lvlText w:val="Appendix %7"/>
      <w:lvlJc w:val="left"/>
      <w:pPr>
        <w:tabs>
          <w:tab w:val="num" w:pos="0"/>
        </w:tabs>
        <w:ind w:left="0" w:firstLine="0"/>
      </w:pPr>
      <w:rPr>
        <w:rFonts w:cs="Times New Roman" w:hint="default"/>
      </w:rPr>
    </w:lvl>
    <w:lvl w:ilvl="7">
      <w:start w:val="1"/>
      <w:numFmt w:val="decimal"/>
      <w:lvlText w:val="%7.%8"/>
      <w:lvlJc w:val="left"/>
      <w:pPr>
        <w:tabs>
          <w:tab w:val="num" w:pos="680"/>
        </w:tabs>
        <w:ind w:left="680" w:hanging="680"/>
      </w:pPr>
      <w:rPr>
        <w:rFonts w:cs="Times New Roman" w:hint="default"/>
      </w:rPr>
    </w:lvl>
    <w:lvl w:ilvl="8">
      <w:start w:val="1"/>
      <w:numFmt w:val="decimal"/>
      <w:lvlRestart w:val="0"/>
      <w:lvlText w:val=""/>
      <w:lvlJc w:val="left"/>
      <w:pPr>
        <w:tabs>
          <w:tab w:val="num" w:pos="0"/>
        </w:tabs>
        <w:ind w:left="0" w:firstLine="0"/>
      </w:pPr>
      <w:rPr>
        <w:rFonts w:cs="Times New Roman" w:hint="default"/>
      </w:rPr>
    </w:lvl>
  </w:abstractNum>
  <w:abstractNum w:abstractNumId="53" w15:restartNumberingAfterBreak="0">
    <w:nsid w:val="5E662B65"/>
    <w:multiLevelType w:val="hybridMultilevel"/>
    <w:tmpl w:val="12048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7C53170"/>
    <w:multiLevelType w:val="hybridMultilevel"/>
    <w:tmpl w:val="C032B8F4"/>
    <w:lvl w:ilvl="0" w:tplc="08090001">
      <w:start w:val="1"/>
      <w:numFmt w:val="bullet"/>
      <w:lvlText w:val=""/>
      <w:lvlJc w:val="left"/>
      <w:pPr>
        <w:ind w:left="360" w:hanging="360"/>
      </w:pPr>
      <w:rPr>
        <w:rFonts w:ascii="Symbol" w:hAnsi="Symbol" w:hint="default"/>
      </w:rPr>
    </w:lvl>
    <w:lvl w:ilvl="1" w:tplc="8C6ED434">
      <w:start w:val="1"/>
      <w:numFmt w:val="bullet"/>
      <w:lvlText w:val="−"/>
      <w:lvlJc w:val="left"/>
      <w:pPr>
        <w:ind w:left="1080" w:hanging="360"/>
      </w:pPr>
      <w:rPr>
        <w:rFonts w:ascii="Calibri"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90E17A5"/>
    <w:multiLevelType w:val="hybridMultilevel"/>
    <w:tmpl w:val="76F2B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92D328E"/>
    <w:multiLevelType w:val="multilevel"/>
    <w:tmpl w:val="0809001D"/>
    <w:name w:val="zxcvzcx222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6CF8332B"/>
    <w:multiLevelType w:val="hybridMultilevel"/>
    <w:tmpl w:val="59D0F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D8F6855"/>
    <w:multiLevelType w:val="hybridMultilevel"/>
    <w:tmpl w:val="A7DE9CB4"/>
    <w:lvl w:ilvl="0" w:tplc="F7D06FC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FB832F0"/>
    <w:multiLevelType w:val="hybridMultilevel"/>
    <w:tmpl w:val="C9428454"/>
    <w:lvl w:ilvl="0" w:tplc="23DAD9FA">
      <w:start w:val="1"/>
      <w:numFmt w:val="decimal"/>
      <w:lvlText w:val="%1"/>
      <w:lvlJc w:val="left"/>
      <w:pPr>
        <w:ind w:left="696" w:hanging="303"/>
      </w:pPr>
      <w:rPr>
        <w:rFonts w:ascii="Arial" w:eastAsia="Arial" w:hAnsi="Arial" w:cs="Arial" w:hint="default"/>
        <w:w w:val="99"/>
        <w:sz w:val="20"/>
        <w:szCs w:val="20"/>
        <w:lang w:val="en-US" w:eastAsia="en-US" w:bidi="en-US"/>
      </w:rPr>
    </w:lvl>
    <w:lvl w:ilvl="1" w:tplc="D1EAA6DA">
      <w:numFmt w:val="bullet"/>
      <w:lvlText w:val="•"/>
      <w:lvlJc w:val="left"/>
      <w:pPr>
        <w:ind w:left="1739" w:hanging="303"/>
      </w:pPr>
      <w:rPr>
        <w:rFonts w:hint="default"/>
        <w:lang w:val="en-US" w:eastAsia="en-US" w:bidi="en-US"/>
      </w:rPr>
    </w:lvl>
    <w:lvl w:ilvl="2" w:tplc="6DE20DFE">
      <w:numFmt w:val="bullet"/>
      <w:lvlText w:val="•"/>
      <w:lvlJc w:val="left"/>
      <w:pPr>
        <w:ind w:left="2779" w:hanging="303"/>
      </w:pPr>
      <w:rPr>
        <w:rFonts w:hint="default"/>
        <w:lang w:val="en-US" w:eastAsia="en-US" w:bidi="en-US"/>
      </w:rPr>
    </w:lvl>
    <w:lvl w:ilvl="3" w:tplc="418262FA">
      <w:numFmt w:val="bullet"/>
      <w:lvlText w:val="•"/>
      <w:lvlJc w:val="left"/>
      <w:pPr>
        <w:ind w:left="3819" w:hanging="303"/>
      </w:pPr>
      <w:rPr>
        <w:rFonts w:hint="default"/>
        <w:lang w:val="en-US" w:eastAsia="en-US" w:bidi="en-US"/>
      </w:rPr>
    </w:lvl>
    <w:lvl w:ilvl="4" w:tplc="7E62E9CE">
      <w:numFmt w:val="bullet"/>
      <w:lvlText w:val="•"/>
      <w:lvlJc w:val="left"/>
      <w:pPr>
        <w:ind w:left="4859" w:hanging="303"/>
      </w:pPr>
      <w:rPr>
        <w:rFonts w:hint="default"/>
        <w:lang w:val="en-US" w:eastAsia="en-US" w:bidi="en-US"/>
      </w:rPr>
    </w:lvl>
    <w:lvl w:ilvl="5" w:tplc="19D684A4">
      <w:numFmt w:val="bullet"/>
      <w:lvlText w:val="•"/>
      <w:lvlJc w:val="left"/>
      <w:pPr>
        <w:ind w:left="5899" w:hanging="303"/>
      </w:pPr>
      <w:rPr>
        <w:rFonts w:hint="default"/>
        <w:lang w:val="en-US" w:eastAsia="en-US" w:bidi="en-US"/>
      </w:rPr>
    </w:lvl>
    <w:lvl w:ilvl="6" w:tplc="F7424FA0">
      <w:numFmt w:val="bullet"/>
      <w:lvlText w:val="•"/>
      <w:lvlJc w:val="left"/>
      <w:pPr>
        <w:ind w:left="6939" w:hanging="303"/>
      </w:pPr>
      <w:rPr>
        <w:rFonts w:hint="default"/>
        <w:lang w:val="en-US" w:eastAsia="en-US" w:bidi="en-US"/>
      </w:rPr>
    </w:lvl>
    <w:lvl w:ilvl="7" w:tplc="0194D192">
      <w:numFmt w:val="bullet"/>
      <w:lvlText w:val="•"/>
      <w:lvlJc w:val="left"/>
      <w:pPr>
        <w:ind w:left="7979" w:hanging="303"/>
      </w:pPr>
      <w:rPr>
        <w:rFonts w:hint="default"/>
        <w:lang w:val="en-US" w:eastAsia="en-US" w:bidi="en-US"/>
      </w:rPr>
    </w:lvl>
    <w:lvl w:ilvl="8" w:tplc="76D8D0E4">
      <w:numFmt w:val="bullet"/>
      <w:lvlText w:val="•"/>
      <w:lvlJc w:val="left"/>
      <w:pPr>
        <w:ind w:left="9019" w:hanging="303"/>
      </w:pPr>
      <w:rPr>
        <w:rFonts w:hint="default"/>
        <w:lang w:val="en-US" w:eastAsia="en-US" w:bidi="en-US"/>
      </w:rPr>
    </w:lvl>
  </w:abstractNum>
  <w:abstractNum w:abstractNumId="60" w15:restartNumberingAfterBreak="0">
    <w:nsid w:val="75E35315"/>
    <w:multiLevelType w:val="hybridMultilevel"/>
    <w:tmpl w:val="FD44AB8C"/>
    <w:lvl w:ilvl="0" w:tplc="8C6ED434">
      <w:start w:val="1"/>
      <w:numFmt w:val="bullet"/>
      <w:lvlText w:val="−"/>
      <w:lvlJc w:val="left"/>
      <w:pPr>
        <w:ind w:left="774" w:hanging="360"/>
      </w:pPr>
      <w:rPr>
        <w:rFonts w:ascii="Calibri" w:hAnsi="Calibri" w:hint="default"/>
      </w:rPr>
    </w:lvl>
    <w:lvl w:ilvl="1" w:tplc="8C6ED434">
      <w:start w:val="1"/>
      <w:numFmt w:val="bullet"/>
      <w:lvlText w:val="−"/>
      <w:lvlJc w:val="left"/>
      <w:pPr>
        <w:ind w:left="1494" w:hanging="360"/>
      </w:pPr>
      <w:rPr>
        <w:rFonts w:ascii="Calibri" w:hAnsi="Calibri"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1" w15:restartNumberingAfterBreak="0">
    <w:nsid w:val="76C41D35"/>
    <w:multiLevelType w:val="hybridMultilevel"/>
    <w:tmpl w:val="2DEE8A52"/>
    <w:lvl w:ilvl="0" w:tplc="92A8A90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7316AD2"/>
    <w:multiLevelType w:val="multilevel"/>
    <w:tmpl w:val="0809001D"/>
    <w:name w:val="zxcvzcx2222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78344286"/>
    <w:multiLevelType w:val="multilevel"/>
    <w:tmpl w:val="82A47502"/>
    <w:name w:val="HeadingListTemplate6"/>
    <w:lvl w:ilvl="0">
      <w:start w:val="1"/>
      <w:numFmt w:val="decimal"/>
      <w:lvlRestart w:val="0"/>
      <w:suff w:val="nothing"/>
      <w:lvlText w:val="Section %1"/>
      <w:lvlJc w:val="left"/>
      <w:pPr>
        <w:tabs>
          <w:tab w:val="num" w:pos="0"/>
        </w:tabs>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0"/>
      <w:lvlText w:val=""/>
      <w:lvlJc w:val="left"/>
      <w:pPr>
        <w:tabs>
          <w:tab w:val="num" w:pos="0"/>
        </w:tabs>
        <w:ind w:left="0" w:firstLine="0"/>
      </w:pPr>
      <w:rPr>
        <w:rFonts w:cs="Times New Roman" w:hint="default"/>
      </w:rPr>
    </w:lvl>
    <w:lvl w:ilvl="4">
      <w:start w:val="1"/>
      <w:numFmt w:val="decimal"/>
      <w:lvlText w:val="%1.%5"/>
      <w:lvlJc w:val="left"/>
      <w:pPr>
        <w:tabs>
          <w:tab w:val="num" w:pos="680"/>
        </w:tabs>
        <w:ind w:left="680" w:hanging="680"/>
      </w:pPr>
      <w:rPr>
        <w:rFonts w:cs="Times New Roman" w:hint="default"/>
      </w:rPr>
    </w:lvl>
    <w:lvl w:ilvl="5">
      <w:start w:val="1"/>
      <w:numFmt w:val="decimal"/>
      <w:lvlText w:val="%1.%5.%6"/>
      <w:lvlJc w:val="left"/>
      <w:pPr>
        <w:tabs>
          <w:tab w:val="num" w:pos="1361"/>
        </w:tabs>
        <w:ind w:left="1361" w:hanging="681"/>
      </w:pPr>
      <w:rPr>
        <w:rFonts w:cs="Times New Roman" w:hint="default"/>
      </w:rPr>
    </w:lvl>
    <w:lvl w:ilvl="6">
      <w:start w:val="1"/>
      <w:numFmt w:val="upperLetter"/>
      <w:lvlRestart w:val="0"/>
      <w:suff w:val="nothing"/>
      <w:lvlText w:val="Appendix %7"/>
      <w:lvlJc w:val="left"/>
      <w:pPr>
        <w:tabs>
          <w:tab w:val="num" w:pos="0"/>
        </w:tabs>
        <w:ind w:left="0" w:firstLine="0"/>
      </w:pPr>
      <w:rPr>
        <w:rFonts w:cs="Times New Roman" w:hint="default"/>
      </w:rPr>
    </w:lvl>
    <w:lvl w:ilvl="7">
      <w:start w:val="1"/>
      <w:numFmt w:val="decimal"/>
      <w:lvlText w:val="%7.%8"/>
      <w:lvlJc w:val="left"/>
      <w:pPr>
        <w:tabs>
          <w:tab w:val="num" w:pos="680"/>
        </w:tabs>
        <w:ind w:left="680" w:hanging="680"/>
      </w:pPr>
      <w:rPr>
        <w:rFonts w:cs="Times New Roman" w:hint="default"/>
      </w:rPr>
    </w:lvl>
    <w:lvl w:ilvl="8">
      <w:start w:val="1"/>
      <w:numFmt w:val="decimal"/>
      <w:lvlRestart w:val="0"/>
      <w:lvlText w:val=""/>
      <w:lvlJc w:val="left"/>
      <w:pPr>
        <w:tabs>
          <w:tab w:val="num" w:pos="0"/>
        </w:tabs>
        <w:ind w:left="0" w:firstLine="0"/>
      </w:pPr>
      <w:rPr>
        <w:rFonts w:cs="Times New Roman" w:hint="default"/>
      </w:rPr>
    </w:lvl>
  </w:abstractNum>
  <w:abstractNum w:abstractNumId="64" w15:restartNumberingAfterBreak="0">
    <w:nsid w:val="78621463"/>
    <w:multiLevelType w:val="hybridMultilevel"/>
    <w:tmpl w:val="AC467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89E1CB7"/>
    <w:multiLevelType w:val="hybridMultilevel"/>
    <w:tmpl w:val="8B6C34C4"/>
    <w:lvl w:ilvl="0" w:tplc="054EC6B4">
      <w:start w:val="1"/>
      <w:numFmt w:val="bullet"/>
      <w:lvlText w:val=""/>
      <w:lvlJc w:val="left"/>
      <w:pPr>
        <w:ind w:left="360" w:hanging="360"/>
      </w:pPr>
      <w:rPr>
        <w:rFonts w:ascii="Symbol" w:hAnsi="Symbol" w:hint="default"/>
      </w:rPr>
    </w:lvl>
    <w:lvl w:ilvl="1" w:tplc="8C6ED434">
      <w:start w:val="1"/>
      <w:numFmt w:val="bullet"/>
      <w:lvlText w:val="−"/>
      <w:lvlJc w:val="left"/>
      <w:pPr>
        <w:ind w:left="1440" w:hanging="360"/>
      </w:pPr>
      <w:rPr>
        <w:rFonts w:ascii="Calibri"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C203610"/>
    <w:multiLevelType w:val="multilevel"/>
    <w:tmpl w:val="09A452C0"/>
    <w:name w:val="HeadingListTemplate14"/>
    <w:lvl w:ilvl="0">
      <w:start w:val="1"/>
      <w:numFmt w:val="decimal"/>
      <w:lvlRestart w:val="0"/>
      <w:suff w:val="nothing"/>
      <w:lvlText w:val="Section %1"/>
      <w:lvlJc w:val="left"/>
      <w:pPr>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1"/>
      <w:lvlText w:val="%1.%4"/>
      <w:lvlJc w:val="left"/>
      <w:pPr>
        <w:tabs>
          <w:tab w:val="num" w:pos="680"/>
        </w:tabs>
        <w:ind w:left="680" w:hanging="680"/>
      </w:pPr>
      <w:rPr>
        <w:rFonts w:cs="Times New Roman" w:hint="default"/>
      </w:rPr>
    </w:lvl>
    <w:lvl w:ilvl="4">
      <w:start w:val="1"/>
      <w:numFmt w:val="lowerLetter"/>
      <w:lvlText w:val="%5."/>
      <w:lvlJc w:val="left"/>
      <w:pPr>
        <w:tabs>
          <w:tab w:val="num" w:pos="1020"/>
        </w:tabs>
        <w:ind w:left="1020" w:hanging="340"/>
      </w:pPr>
      <w:rPr>
        <w:rFonts w:cs="Times New Roman" w:hint="default"/>
      </w:rPr>
    </w:lvl>
    <w:lvl w:ilvl="5">
      <w:start w:val="1"/>
      <w:numFmt w:val="decimal"/>
      <w:lvlRestart w:val="4"/>
      <w:lvlText w:val="%1.%4.%6"/>
      <w:lvlJc w:val="left"/>
      <w:pPr>
        <w:tabs>
          <w:tab w:val="num" w:pos="1361"/>
        </w:tabs>
        <w:ind w:left="1361" w:hanging="681"/>
      </w:pPr>
      <w:rPr>
        <w:rFonts w:cs="Times New Roman" w:hint="default"/>
      </w:rPr>
    </w:lvl>
    <w:lvl w:ilvl="6">
      <w:start w:val="1"/>
      <w:numFmt w:val="lowerLetter"/>
      <w:lvlText w:val="%7."/>
      <w:lvlJc w:val="left"/>
      <w:pPr>
        <w:tabs>
          <w:tab w:val="num" w:pos="1701"/>
        </w:tabs>
        <w:ind w:left="1701" w:hanging="340"/>
      </w:pPr>
      <w:rPr>
        <w:rFonts w:cs="Times New Roman" w:hint="default"/>
      </w:rPr>
    </w:lvl>
    <w:lvl w:ilvl="7">
      <w:start w:val="1"/>
      <w:numFmt w:val="upperLetter"/>
      <w:lvlRestart w:val="0"/>
      <w:suff w:val="nothing"/>
      <w:lvlText w:val="Appendix %8"/>
      <w:lvlJc w:val="left"/>
      <w:pPr>
        <w:ind w:left="0" w:firstLine="0"/>
      </w:pPr>
      <w:rPr>
        <w:rFonts w:cs="Times New Roman" w:hint="default"/>
      </w:rPr>
    </w:lvl>
    <w:lvl w:ilvl="8">
      <w:start w:val="1"/>
      <w:numFmt w:val="decimal"/>
      <w:lvlText w:val="%8.%9"/>
      <w:lvlJc w:val="left"/>
      <w:pPr>
        <w:tabs>
          <w:tab w:val="num" w:pos="680"/>
        </w:tabs>
        <w:ind w:left="680" w:hanging="680"/>
      </w:pPr>
      <w:rPr>
        <w:rFonts w:cs="Times New Roman" w:hint="default"/>
      </w:rPr>
    </w:lvl>
  </w:abstractNum>
  <w:abstractNum w:abstractNumId="67" w15:restartNumberingAfterBreak="0">
    <w:nsid w:val="7E972A1B"/>
    <w:multiLevelType w:val="multilevel"/>
    <w:tmpl w:val="A52E5C72"/>
    <w:name w:val="HeadingListTemplate11"/>
    <w:lvl w:ilvl="0">
      <w:start w:val="1"/>
      <w:numFmt w:val="decimal"/>
      <w:lvlRestart w:val="0"/>
      <w:suff w:val="nothing"/>
      <w:lvlText w:val="Section %1"/>
      <w:lvlJc w:val="left"/>
      <w:pPr>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1"/>
      <w:lvlText w:val="%1.%4"/>
      <w:lvlJc w:val="left"/>
      <w:pPr>
        <w:tabs>
          <w:tab w:val="num" w:pos="680"/>
        </w:tabs>
        <w:ind w:left="680" w:hanging="680"/>
      </w:pPr>
      <w:rPr>
        <w:rFonts w:cs="Times New Roman" w:hint="default"/>
      </w:rPr>
    </w:lvl>
    <w:lvl w:ilvl="4">
      <w:start w:val="1"/>
      <w:numFmt w:val="lowerLetter"/>
      <w:lvlText w:val="%5."/>
      <w:lvlJc w:val="left"/>
      <w:pPr>
        <w:tabs>
          <w:tab w:val="num" w:pos="1020"/>
        </w:tabs>
        <w:ind w:left="1020" w:hanging="340"/>
      </w:pPr>
      <w:rPr>
        <w:rFonts w:cs="Times New Roman" w:hint="default"/>
      </w:rPr>
    </w:lvl>
    <w:lvl w:ilvl="5">
      <w:start w:val="1"/>
      <w:numFmt w:val="decimal"/>
      <w:lvlRestart w:val="4"/>
      <w:lvlText w:val="%1.%4.%6"/>
      <w:lvlJc w:val="left"/>
      <w:pPr>
        <w:tabs>
          <w:tab w:val="num" w:pos="1361"/>
        </w:tabs>
        <w:ind w:left="1361" w:hanging="681"/>
      </w:pPr>
      <w:rPr>
        <w:rFonts w:cs="Times New Roman" w:hint="default"/>
      </w:rPr>
    </w:lvl>
    <w:lvl w:ilvl="6">
      <w:start w:val="1"/>
      <w:numFmt w:val="lowerLetter"/>
      <w:lvlText w:val="%7."/>
      <w:lvlJc w:val="left"/>
      <w:pPr>
        <w:tabs>
          <w:tab w:val="num" w:pos="1701"/>
        </w:tabs>
        <w:ind w:left="1701" w:hanging="340"/>
      </w:pPr>
      <w:rPr>
        <w:rFonts w:cs="Times New Roman" w:hint="default"/>
      </w:rPr>
    </w:lvl>
    <w:lvl w:ilvl="7">
      <w:start w:val="1"/>
      <w:numFmt w:val="upperLetter"/>
      <w:lvlRestart w:val="0"/>
      <w:suff w:val="nothing"/>
      <w:lvlText w:val="Appendix %8"/>
      <w:lvlJc w:val="left"/>
      <w:pPr>
        <w:ind w:left="0" w:firstLine="0"/>
      </w:pPr>
      <w:rPr>
        <w:rFonts w:cs="Times New Roman" w:hint="default"/>
      </w:rPr>
    </w:lvl>
    <w:lvl w:ilvl="8">
      <w:start w:val="1"/>
      <w:numFmt w:val="decimal"/>
      <w:lvlText w:val="%8.%9"/>
      <w:lvlJc w:val="left"/>
      <w:pPr>
        <w:tabs>
          <w:tab w:val="num" w:pos="680"/>
        </w:tabs>
        <w:ind w:left="680" w:hanging="680"/>
      </w:pPr>
      <w:rPr>
        <w:rFonts w:cs="Times New Roman" w:hint="default"/>
      </w:rPr>
    </w:lvl>
  </w:abstractNum>
  <w:num w:numId="1" w16cid:durableId="497158377">
    <w:abstractNumId w:val="49"/>
  </w:num>
  <w:num w:numId="2" w16cid:durableId="1446541337">
    <w:abstractNumId w:val="9"/>
  </w:num>
  <w:num w:numId="3" w16cid:durableId="1057051491">
    <w:abstractNumId w:val="7"/>
  </w:num>
  <w:num w:numId="4" w16cid:durableId="841621444">
    <w:abstractNumId w:val="6"/>
  </w:num>
  <w:num w:numId="5" w16cid:durableId="824198296">
    <w:abstractNumId w:val="5"/>
  </w:num>
  <w:num w:numId="6" w16cid:durableId="598877378">
    <w:abstractNumId w:val="4"/>
  </w:num>
  <w:num w:numId="7" w16cid:durableId="505246555">
    <w:abstractNumId w:val="8"/>
  </w:num>
  <w:num w:numId="8" w16cid:durableId="2070806747">
    <w:abstractNumId w:val="3"/>
  </w:num>
  <w:num w:numId="9" w16cid:durableId="1232042895">
    <w:abstractNumId w:val="2"/>
  </w:num>
  <w:num w:numId="10" w16cid:durableId="1142187291">
    <w:abstractNumId w:val="1"/>
  </w:num>
  <w:num w:numId="11" w16cid:durableId="1977099525">
    <w:abstractNumId w:val="0"/>
  </w:num>
  <w:num w:numId="12" w16cid:durableId="742177">
    <w:abstractNumId w:val="33"/>
  </w:num>
  <w:num w:numId="13" w16cid:durableId="1994672462">
    <w:abstractNumId w:val="11"/>
  </w:num>
  <w:num w:numId="14" w16cid:durableId="38821875">
    <w:abstractNumId w:val="17"/>
  </w:num>
  <w:num w:numId="15" w16cid:durableId="985007706">
    <w:abstractNumId w:val="21"/>
  </w:num>
  <w:num w:numId="16" w16cid:durableId="33388299">
    <w:abstractNumId w:val="41"/>
  </w:num>
  <w:num w:numId="17" w16cid:durableId="1880170036">
    <w:abstractNumId w:val="58"/>
  </w:num>
  <w:num w:numId="18" w16cid:durableId="719592409">
    <w:abstractNumId w:val="65"/>
  </w:num>
  <w:num w:numId="19" w16cid:durableId="636690311">
    <w:abstractNumId w:val="60"/>
  </w:num>
  <w:num w:numId="20" w16cid:durableId="2010986096">
    <w:abstractNumId w:val="32"/>
  </w:num>
  <w:num w:numId="21" w16cid:durableId="92749251">
    <w:abstractNumId w:val="14"/>
  </w:num>
  <w:num w:numId="22" w16cid:durableId="1888839382">
    <w:abstractNumId w:val="57"/>
  </w:num>
  <w:num w:numId="23" w16cid:durableId="752051629">
    <w:abstractNumId w:val="42"/>
  </w:num>
  <w:num w:numId="24" w16cid:durableId="720177293">
    <w:abstractNumId w:val="26"/>
  </w:num>
  <w:num w:numId="25" w16cid:durableId="161044195">
    <w:abstractNumId w:val="55"/>
  </w:num>
  <w:num w:numId="26" w16cid:durableId="993333882">
    <w:abstractNumId w:val="44"/>
  </w:num>
  <w:num w:numId="27" w16cid:durableId="1535577677">
    <w:abstractNumId w:val="30"/>
  </w:num>
  <w:num w:numId="28" w16cid:durableId="1545021530">
    <w:abstractNumId w:val="61"/>
  </w:num>
  <w:num w:numId="29" w16cid:durableId="317996447">
    <w:abstractNumId w:val="15"/>
  </w:num>
  <w:num w:numId="30" w16cid:durableId="96801334">
    <w:abstractNumId w:val="46"/>
  </w:num>
  <w:num w:numId="31" w16cid:durableId="1317956986">
    <w:abstractNumId w:val="24"/>
  </w:num>
  <w:num w:numId="32" w16cid:durableId="1191532006">
    <w:abstractNumId w:val="36"/>
  </w:num>
  <w:num w:numId="33" w16cid:durableId="736168668">
    <w:abstractNumId w:val="59"/>
  </w:num>
  <w:num w:numId="34" w16cid:durableId="661471778">
    <w:abstractNumId w:val="54"/>
  </w:num>
  <w:num w:numId="35" w16cid:durableId="683869663">
    <w:abstractNumId w:val="16"/>
  </w:num>
  <w:num w:numId="36" w16cid:durableId="1846436474">
    <w:abstractNumId w:val="25"/>
  </w:num>
  <w:num w:numId="37" w16cid:durableId="1980762918">
    <w:abstractNumId w:val="34"/>
  </w:num>
  <w:num w:numId="38" w16cid:durableId="1282540272">
    <w:abstractNumId w:val="53"/>
  </w:num>
  <w:num w:numId="39" w16cid:durableId="526720181">
    <w:abstractNumId w:val="39"/>
  </w:num>
  <w:num w:numId="40" w16cid:durableId="1253900948">
    <w:abstractNumId w:val="6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10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2D1"/>
    <w:rsid w:val="000002F3"/>
    <w:rsid w:val="000009D5"/>
    <w:rsid w:val="00003BF9"/>
    <w:rsid w:val="00004888"/>
    <w:rsid w:val="00005164"/>
    <w:rsid w:val="00005279"/>
    <w:rsid w:val="00005E47"/>
    <w:rsid w:val="00006815"/>
    <w:rsid w:val="000076D4"/>
    <w:rsid w:val="00010769"/>
    <w:rsid w:val="000109FF"/>
    <w:rsid w:val="00011DA1"/>
    <w:rsid w:val="00012390"/>
    <w:rsid w:val="0001320F"/>
    <w:rsid w:val="000136E1"/>
    <w:rsid w:val="00013B4B"/>
    <w:rsid w:val="000149C4"/>
    <w:rsid w:val="000170A5"/>
    <w:rsid w:val="00017777"/>
    <w:rsid w:val="00017CBB"/>
    <w:rsid w:val="00017E4D"/>
    <w:rsid w:val="000219AF"/>
    <w:rsid w:val="000237E6"/>
    <w:rsid w:val="000239B2"/>
    <w:rsid w:val="00024803"/>
    <w:rsid w:val="00024D1E"/>
    <w:rsid w:val="0002602E"/>
    <w:rsid w:val="000267DB"/>
    <w:rsid w:val="00027C75"/>
    <w:rsid w:val="00031B1A"/>
    <w:rsid w:val="00031BEA"/>
    <w:rsid w:val="00032530"/>
    <w:rsid w:val="000337B8"/>
    <w:rsid w:val="00033CE1"/>
    <w:rsid w:val="0003475B"/>
    <w:rsid w:val="0003529B"/>
    <w:rsid w:val="00035F9D"/>
    <w:rsid w:val="00037543"/>
    <w:rsid w:val="00041566"/>
    <w:rsid w:val="0004199D"/>
    <w:rsid w:val="00041A1C"/>
    <w:rsid w:val="00042F38"/>
    <w:rsid w:val="00043AE6"/>
    <w:rsid w:val="0004559B"/>
    <w:rsid w:val="00046226"/>
    <w:rsid w:val="00046784"/>
    <w:rsid w:val="00050513"/>
    <w:rsid w:val="0005060C"/>
    <w:rsid w:val="000545CD"/>
    <w:rsid w:val="0005470C"/>
    <w:rsid w:val="000547CD"/>
    <w:rsid w:val="0005496F"/>
    <w:rsid w:val="0005603F"/>
    <w:rsid w:val="00056A4D"/>
    <w:rsid w:val="000613B4"/>
    <w:rsid w:val="0006275E"/>
    <w:rsid w:val="000632C7"/>
    <w:rsid w:val="000638C6"/>
    <w:rsid w:val="000651D6"/>
    <w:rsid w:val="0007140D"/>
    <w:rsid w:val="00073AC1"/>
    <w:rsid w:val="000740C4"/>
    <w:rsid w:val="00074A91"/>
    <w:rsid w:val="00075741"/>
    <w:rsid w:val="00076BCC"/>
    <w:rsid w:val="000774E0"/>
    <w:rsid w:val="00077D22"/>
    <w:rsid w:val="00084608"/>
    <w:rsid w:val="00085B36"/>
    <w:rsid w:val="000867EA"/>
    <w:rsid w:val="00090281"/>
    <w:rsid w:val="000910BE"/>
    <w:rsid w:val="000919F0"/>
    <w:rsid w:val="0009239B"/>
    <w:rsid w:val="00093F09"/>
    <w:rsid w:val="00093FBE"/>
    <w:rsid w:val="000A0A2B"/>
    <w:rsid w:val="000A0BDF"/>
    <w:rsid w:val="000A1274"/>
    <w:rsid w:val="000A657B"/>
    <w:rsid w:val="000A6616"/>
    <w:rsid w:val="000A69E4"/>
    <w:rsid w:val="000A6D31"/>
    <w:rsid w:val="000A711F"/>
    <w:rsid w:val="000A7A58"/>
    <w:rsid w:val="000A7DA3"/>
    <w:rsid w:val="000B0D16"/>
    <w:rsid w:val="000B1AC4"/>
    <w:rsid w:val="000B3B05"/>
    <w:rsid w:val="000B6473"/>
    <w:rsid w:val="000B6F64"/>
    <w:rsid w:val="000C010C"/>
    <w:rsid w:val="000C18C8"/>
    <w:rsid w:val="000C1F1C"/>
    <w:rsid w:val="000C3CC5"/>
    <w:rsid w:val="000C4157"/>
    <w:rsid w:val="000C44A9"/>
    <w:rsid w:val="000C5FC2"/>
    <w:rsid w:val="000C7E26"/>
    <w:rsid w:val="000D04BA"/>
    <w:rsid w:val="000D0E1D"/>
    <w:rsid w:val="000D11B7"/>
    <w:rsid w:val="000D13B4"/>
    <w:rsid w:val="000D3843"/>
    <w:rsid w:val="000D4DAD"/>
    <w:rsid w:val="000D52C3"/>
    <w:rsid w:val="000D5371"/>
    <w:rsid w:val="000D6880"/>
    <w:rsid w:val="000E196A"/>
    <w:rsid w:val="000E3684"/>
    <w:rsid w:val="000E39B9"/>
    <w:rsid w:val="000E478F"/>
    <w:rsid w:val="000E6AA2"/>
    <w:rsid w:val="000E712D"/>
    <w:rsid w:val="000F0736"/>
    <w:rsid w:val="000F19F3"/>
    <w:rsid w:val="000F1B64"/>
    <w:rsid w:val="000F2E04"/>
    <w:rsid w:val="000F383D"/>
    <w:rsid w:val="000F526D"/>
    <w:rsid w:val="000F6615"/>
    <w:rsid w:val="001009B8"/>
    <w:rsid w:val="001024C6"/>
    <w:rsid w:val="00103C80"/>
    <w:rsid w:val="00104260"/>
    <w:rsid w:val="00105336"/>
    <w:rsid w:val="00105715"/>
    <w:rsid w:val="00110BC7"/>
    <w:rsid w:val="00113A2B"/>
    <w:rsid w:val="00114759"/>
    <w:rsid w:val="001147F5"/>
    <w:rsid w:val="00114941"/>
    <w:rsid w:val="0011613D"/>
    <w:rsid w:val="00117676"/>
    <w:rsid w:val="001201EE"/>
    <w:rsid w:val="0012191A"/>
    <w:rsid w:val="001219E0"/>
    <w:rsid w:val="00122A01"/>
    <w:rsid w:val="00123211"/>
    <w:rsid w:val="00123DFD"/>
    <w:rsid w:val="00124067"/>
    <w:rsid w:val="00124AC5"/>
    <w:rsid w:val="00125869"/>
    <w:rsid w:val="00125A23"/>
    <w:rsid w:val="00127EB4"/>
    <w:rsid w:val="0013080C"/>
    <w:rsid w:val="00130F88"/>
    <w:rsid w:val="00133459"/>
    <w:rsid w:val="001351C8"/>
    <w:rsid w:val="0013552F"/>
    <w:rsid w:val="001364D3"/>
    <w:rsid w:val="00136DBA"/>
    <w:rsid w:val="00137ED5"/>
    <w:rsid w:val="0014171B"/>
    <w:rsid w:val="0014190D"/>
    <w:rsid w:val="001427F1"/>
    <w:rsid w:val="001444D8"/>
    <w:rsid w:val="00150133"/>
    <w:rsid w:val="00150719"/>
    <w:rsid w:val="00150F8F"/>
    <w:rsid w:val="00152D69"/>
    <w:rsid w:val="001533A3"/>
    <w:rsid w:val="001541BB"/>
    <w:rsid w:val="00154DD3"/>
    <w:rsid w:val="00155059"/>
    <w:rsid w:val="00160F44"/>
    <w:rsid w:val="00161D67"/>
    <w:rsid w:val="00163A34"/>
    <w:rsid w:val="00167614"/>
    <w:rsid w:val="0016787F"/>
    <w:rsid w:val="00167C4F"/>
    <w:rsid w:val="00170007"/>
    <w:rsid w:val="00171DFC"/>
    <w:rsid w:val="001721CB"/>
    <w:rsid w:val="00172804"/>
    <w:rsid w:val="001730E7"/>
    <w:rsid w:val="00176DD5"/>
    <w:rsid w:val="001777E1"/>
    <w:rsid w:val="001803F2"/>
    <w:rsid w:val="0018104E"/>
    <w:rsid w:val="00182234"/>
    <w:rsid w:val="00182AB5"/>
    <w:rsid w:val="00182B7E"/>
    <w:rsid w:val="00183279"/>
    <w:rsid w:val="00186BDA"/>
    <w:rsid w:val="00186ED6"/>
    <w:rsid w:val="0019024E"/>
    <w:rsid w:val="00192F95"/>
    <w:rsid w:val="001942BD"/>
    <w:rsid w:val="001951FB"/>
    <w:rsid w:val="001956A7"/>
    <w:rsid w:val="00195838"/>
    <w:rsid w:val="00195FB7"/>
    <w:rsid w:val="001977DC"/>
    <w:rsid w:val="001A2148"/>
    <w:rsid w:val="001A3340"/>
    <w:rsid w:val="001A5F52"/>
    <w:rsid w:val="001A6788"/>
    <w:rsid w:val="001A7926"/>
    <w:rsid w:val="001B03E8"/>
    <w:rsid w:val="001B0B8E"/>
    <w:rsid w:val="001B0FA6"/>
    <w:rsid w:val="001B1424"/>
    <w:rsid w:val="001B2048"/>
    <w:rsid w:val="001B207F"/>
    <w:rsid w:val="001B2137"/>
    <w:rsid w:val="001B2BDC"/>
    <w:rsid w:val="001B3A30"/>
    <w:rsid w:val="001B4CA3"/>
    <w:rsid w:val="001B4CAD"/>
    <w:rsid w:val="001B52C9"/>
    <w:rsid w:val="001B62C0"/>
    <w:rsid w:val="001B7F38"/>
    <w:rsid w:val="001C0220"/>
    <w:rsid w:val="001C1BEB"/>
    <w:rsid w:val="001C4BA8"/>
    <w:rsid w:val="001C661B"/>
    <w:rsid w:val="001C6A0E"/>
    <w:rsid w:val="001D1AD8"/>
    <w:rsid w:val="001D2941"/>
    <w:rsid w:val="001D2F2C"/>
    <w:rsid w:val="001D3359"/>
    <w:rsid w:val="001D3E9A"/>
    <w:rsid w:val="001D55EB"/>
    <w:rsid w:val="001D5A8A"/>
    <w:rsid w:val="001D5CBB"/>
    <w:rsid w:val="001E0571"/>
    <w:rsid w:val="001E06BB"/>
    <w:rsid w:val="001E092E"/>
    <w:rsid w:val="001E110E"/>
    <w:rsid w:val="001E3D40"/>
    <w:rsid w:val="001E414B"/>
    <w:rsid w:val="001E4ED4"/>
    <w:rsid w:val="001E5CDD"/>
    <w:rsid w:val="001E7D8F"/>
    <w:rsid w:val="001F2CA2"/>
    <w:rsid w:val="001F2F9F"/>
    <w:rsid w:val="001F3FEF"/>
    <w:rsid w:val="001F430B"/>
    <w:rsid w:val="001F6066"/>
    <w:rsid w:val="00200645"/>
    <w:rsid w:val="002006A5"/>
    <w:rsid w:val="002007C6"/>
    <w:rsid w:val="00200AE7"/>
    <w:rsid w:val="0020277F"/>
    <w:rsid w:val="00202AED"/>
    <w:rsid w:val="00202B31"/>
    <w:rsid w:val="002030E4"/>
    <w:rsid w:val="0020394A"/>
    <w:rsid w:val="00204B40"/>
    <w:rsid w:val="00206AEE"/>
    <w:rsid w:val="002070CE"/>
    <w:rsid w:val="00207A49"/>
    <w:rsid w:val="00211776"/>
    <w:rsid w:val="00212009"/>
    <w:rsid w:val="0021214D"/>
    <w:rsid w:val="002142E6"/>
    <w:rsid w:val="0022387C"/>
    <w:rsid w:val="00223C4F"/>
    <w:rsid w:val="00224E32"/>
    <w:rsid w:val="00225AA2"/>
    <w:rsid w:val="002266AB"/>
    <w:rsid w:val="002276A7"/>
    <w:rsid w:val="00227D6F"/>
    <w:rsid w:val="00227F03"/>
    <w:rsid w:val="002305C6"/>
    <w:rsid w:val="00231457"/>
    <w:rsid w:val="002317F4"/>
    <w:rsid w:val="002326A8"/>
    <w:rsid w:val="00232C42"/>
    <w:rsid w:val="00233067"/>
    <w:rsid w:val="0023428B"/>
    <w:rsid w:val="0023475A"/>
    <w:rsid w:val="002348EA"/>
    <w:rsid w:val="00236134"/>
    <w:rsid w:val="00237684"/>
    <w:rsid w:val="00240664"/>
    <w:rsid w:val="00241204"/>
    <w:rsid w:val="00241AE9"/>
    <w:rsid w:val="00241D1C"/>
    <w:rsid w:val="00241E9A"/>
    <w:rsid w:val="00242297"/>
    <w:rsid w:val="00243F79"/>
    <w:rsid w:val="002443EC"/>
    <w:rsid w:val="00244919"/>
    <w:rsid w:val="00245C58"/>
    <w:rsid w:val="00245DA5"/>
    <w:rsid w:val="00246970"/>
    <w:rsid w:val="00250822"/>
    <w:rsid w:val="00250962"/>
    <w:rsid w:val="002529D2"/>
    <w:rsid w:val="0025302F"/>
    <w:rsid w:val="00254E38"/>
    <w:rsid w:val="0025547A"/>
    <w:rsid w:val="002635F0"/>
    <w:rsid w:val="00263E3B"/>
    <w:rsid w:val="00263F06"/>
    <w:rsid w:val="00263F23"/>
    <w:rsid w:val="00265B92"/>
    <w:rsid w:val="002672AF"/>
    <w:rsid w:val="002678AB"/>
    <w:rsid w:val="0027111C"/>
    <w:rsid w:val="002732BF"/>
    <w:rsid w:val="00273B2C"/>
    <w:rsid w:val="002744F7"/>
    <w:rsid w:val="0027574C"/>
    <w:rsid w:val="002766BB"/>
    <w:rsid w:val="002774CA"/>
    <w:rsid w:val="00277735"/>
    <w:rsid w:val="0028318C"/>
    <w:rsid w:val="00284B54"/>
    <w:rsid w:val="002871E5"/>
    <w:rsid w:val="00291AE4"/>
    <w:rsid w:val="00291C7C"/>
    <w:rsid w:val="0029307C"/>
    <w:rsid w:val="002938D4"/>
    <w:rsid w:val="00293A08"/>
    <w:rsid w:val="00293A8A"/>
    <w:rsid w:val="00294D3D"/>
    <w:rsid w:val="00294E48"/>
    <w:rsid w:val="00294F28"/>
    <w:rsid w:val="00295804"/>
    <w:rsid w:val="00296AC1"/>
    <w:rsid w:val="00297212"/>
    <w:rsid w:val="00297AF9"/>
    <w:rsid w:val="00297E52"/>
    <w:rsid w:val="002A2612"/>
    <w:rsid w:val="002A4791"/>
    <w:rsid w:val="002A6B3F"/>
    <w:rsid w:val="002A6F63"/>
    <w:rsid w:val="002B27A3"/>
    <w:rsid w:val="002B2D36"/>
    <w:rsid w:val="002B4AA4"/>
    <w:rsid w:val="002B5745"/>
    <w:rsid w:val="002B5DF2"/>
    <w:rsid w:val="002B7E05"/>
    <w:rsid w:val="002C075C"/>
    <w:rsid w:val="002C0D9E"/>
    <w:rsid w:val="002C19EB"/>
    <w:rsid w:val="002C242A"/>
    <w:rsid w:val="002C4118"/>
    <w:rsid w:val="002C6547"/>
    <w:rsid w:val="002C6B4B"/>
    <w:rsid w:val="002C7372"/>
    <w:rsid w:val="002C7B3B"/>
    <w:rsid w:val="002D0001"/>
    <w:rsid w:val="002D04F2"/>
    <w:rsid w:val="002D0AA0"/>
    <w:rsid w:val="002D2608"/>
    <w:rsid w:val="002D26E0"/>
    <w:rsid w:val="002D4732"/>
    <w:rsid w:val="002D4EB5"/>
    <w:rsid w:val="002D78D0"/>
    <w:rsid w:val="002E0689"/>
    <w:rsid w:val="002E4B33"/>
    <w:rsid w:val="002E5670"/>
    <w:rsid w:val="002E5FFA"/>
    <w:rsid w:val="002E6177"/>
    <w:rsid w:val="002E69BD"/>
    <w:rsid w:val="002E7F7B"/>
    <w:rsid w:val="002F0BF6"/>
    <w:rsid w:val="002F2820"/>
    <w:rsid w:val="002F318C"/>
    <w:rsid w:val="002F34DF"/>
    <w:rsid w:val="002F4E9D"/>
    <w:rsid w:val="002F5401"/>
    <w:rsid w:val="002F5805"/>
    <w:rsid w:val="002F611D"/>
    <w:rsid w:val="002F68EB"/>
    <w:rsid w:val="00300075"/>
    <w:rsid w:val="003021CD"/>
    <w:rsid w:val="003056E8"/>
    <w:rsid w:val="00305EA3"/>
    <w:rsid w:val="00306C59"/>
    <w:rsid w:val="00307831"/>
    <w:rsid w:val="003102ED"/>
    <w:rsid w:val="00310D40"/>
    <w:rsid w:val="0031198F"/>
    <w:rsid w:val="00312B0B"/>
    <w:rsid w:val="003146B1"/>
    <w:rsid w:val="00314D96"/>
    <w:rsid w:val="00315A36"/>
    <w:rsid w:val="00315D11"/>
    <w:rsid w:val="003160F5"/>
    <w:rsid w:val="00320EC1"/>
    <w:rsid w:val="00322ACE"/>
    <w:rsid w:val="0032380B"/>
    <w:rsid w:val="00323CA5"/>
    <w:rsid w:val="00324328"/>
    <w:rsid w:val="00325A09"/>
    <w:rsid w:val="00326118"/>
    <w:rsid w:val="003264E8"/>
    <w:rsid w:val="003307E7"/>
    <w:rsid w:val="00331232"/>
    <w:rsid w:val="00331F28"/>
    <w:rsid w:val="00332611"/>
    <w:rsid w:val="003327A0"/>
    <w:rsid w:val="003331EC"/>
    <w:rsid w:val="0033366B"/>
    <w:rsid w:val="00333CD5"/>
    <w:rsid w:val="00334311"/>
    <w:rsid w:val="003346FA"/>
    <w:rsid w:val="0033611E"/>
    <w:rsid w:val="00336F63"/>
    <w:rsid w:val="00337B96"/>
    <w:rsid w:val="00337C8D"/>
    <w:rsid w:val="00337E94"/>
    <w:rsid w:val="003407FA"/>
    <w:rsid w:val="00340A18"/>
    <w:rsid w:val="0034382D"/>
    <w:rsid w:val="0034416F"/>
    <w:rsid w:val="003459A0"/>
    <w:rsid w:val="003503AB"/>
    <w:rsid w:val="00350AA1"/>
    <w:rsid w:val="00351477"/>
    <w:rsid w:val="00351C5C"/>
    <w:rsid w:val="003540A2"/>
    <w:rsid w:val="003540F1"/>
    <w:rsid w:val="0035420A"/>
    <w:rsid w:val="003554FF"/>
    <w:rsid w:val="00356750"/>
    <w:rsid w:val="00356DC1"/>
    <w:rsid w:val="00357419"/>
    <w:rsid w:val="00357740"/>
    <w:rsid w:val="0036096C"/>
    <w:rsid w:val="00361EAC"/>
    <w:rsid w:val="003634F6"/>
    <w:rsid w:val="003647E4"/>
    <w:rsid w:val="003657EC"/>
    <w:rsid w:val="00365B47"/>
    <w:rsid w:val="00366EA7"/>
    <w:rsid w:val="00370153"/>
    <w:rsid w:val="00375892"/>
    <w:rsid w:val="003765D4"/>
    <w:rsid w:val="00376861"/>
    <w:rsid w:val="00376EE8"/>
    <w:rsid w:val="003774B5"/>
    <w:rsid w:val="003806B2"/>
    <w:rsid w:val="00381AA3"/>
    <w:rsid w:val="0038256E"/>
    <w:rsid w:val="00383538"/>
    <w:rsid w:val="003841AA"/>
    <w:rsid w:val="00384C08"/>
    <w:rsid w:val="00385145"/>
    <w:rsid w:val="0038715F"/>
    <w:rsid w:val="00387B54"/>
    <w:rsid w:val="003912E6"/>
    <w:rsid w:val="00391C84"/>
    <w:rsid w:val="00392B94"/>
    <w:rsid w:val="00392DFE"/>
    <w:rsid w:val="003939B6"/>
    <w:rsid w:val="003940B8"/>
    <w:rsid w:val="00395A61"/>
    <w:rsid w:val="00395EF1"/>
    <w:rsid w:val="0039632C"/>
    <w:rsid w:val="00397658"/>
    <w:rsid w:val="003A06D7"/>
    <w:rsid w:val="003A3434"/>
    <w:rsid w:val="003A347C"/>
    <w:rsid w:val="003A550B"/>
    <w:rsid w:val="003A5866"/>
    <w:rsid w:val="003A599B"/>
    <w:rsid w:val="003A5D84"/>
    <w:rsid w:val="003B0BF8"/>
    <w:rsid w:val="003B4B61"/>
    <w:rsid w:val="003B5535"/>
    <w:rsid w:val="003B649B"/>
    <w:rsid w:val="003B6758"/>
    <w:rsid w:val="003C05F7"/>
    <w:rsid w:val="003C0A0C"/>
    <w:rsid w:val="003C11B3"/>
    <w:rsid w:val="003C1526"/>
    <w:rsid w:val="003C1A96"/>
    <w:rsid w:val="003C27CF"/>
    <w:rsid w:val="003C2F84"/>
    <w:rsid w:val="003C3C4E"/>
    <w:rsid w:val="003C54C8"/>
    <w:rsid w:val="003C6A04"/>
    <w:rsid w:val="003D09F0"/>
    <w:rsid w:val="003D0B03"/>
    <w:rsid w:val="003D26BA"/>
    <w:rsid w:val="003D4DCA"/>
    <w:rsid w:val="003D5197"/>
    <w:rsid w:val="003D52C4"/>
    <w:rsid w:val="003D5345"/>
    <w:rsid w:val="003D599B"/>
    <w:rsid w:val="003D76A9"/>
    <w:rsid w:val="003D7B0C"/>
    <w:rsid w:val="003E4D3F"/>
    <w:rsid w:val="003F1C9F"/>
    <w:rsid w:val="003F2457"/>
    <w:rsid w:val="003F39BB"/>
    <w:rsid w:val="003F4205"/>
    <w:rsid w:val="003F4F7C"/>
    <w:rsid w:val="003F60FD"/>
    <w:rsid w:val="003F618D"/>
    <w:rsid w:val="004001A8"/>
    <w:rsid w:val="0040026B"/>
    <w:rsid w:val="004016C6"/>
    <w:rsid w:val="00402D83"/>
    <w:rsid w:val="00405D75"/>
    <w:rsid w:val="00406826"/>
    <w:rsid w:val="00411C20"/>
    <w:rsid w:val="00412DBA"/>
    <w:rsid w:val="0041330C"/>
    <w:rsid w:val="0041363A"/>
    <w:rsid w:val="004144B2"/>
    <w:rsid w:val="004160DC"/>
    <w:rsid w:val="00420DFC"/>
    <w:rsid w:val="00421DA4"/>
    <w:rsid w:val="00421FF2"/>
    <w:rsid w:val="00422AEC"/>
    <w:rsid w:val="00424399"/>
    <w:rsid w:val="00424554"/>
    <w:rsid w:val="0042457E"/>
    <w:rsid w:val="00426250"/>
    <w:rsid w:val="00427062"/>
    <w:rsid w:val="0043074B"/>
    <w:rsid w:val="0043191B"/>
    <w:rsid w:val="0043330B"/>
    <w:rsid w:val="004335F1"/>
    <w:rsid w:val="0043439A"/>
    <w:rsid w:val="00435E3F"/>
    <w:rsid w:val="0044030A"/>
    <w:rsid w:val="004403C8"/>
    <w:rsid w:val="00441126"/>
    <w:rsid w:val="00441B32"/>
    <w:rsid w:val="00442978"/>
    <w:rsid w:val="00443B0F"/>
    <w:rsid w:val="00445422"/>
    <w:rsid w:val="004470FB"/>
    <w:rsid w:val="00447ED2"/>
    <w:rsid w:val="004520D5"/>
    <w:rsid w:val="004526AF"/>
    <w:rsid w:val="00452828"/>
    <w:rsid w:val="00454976"/>
    <w:rsid w:val="00456218"/>
    <w:rsid w:val="0045694A"/>
    <w:rsid w:val="004579E7"/>
    <w:rsid w:val="00460893"/>
    <w:rsid w:val="004628E3"/>
    <w:rsid w:val="00463A11"/>
    <w:rsid w:val="00465A87"/>
    <w:rsid w:val="004665A5"/>
    <w:rsid w:val="0046703A"/>
    <w:rsid w:val="004679B7"/>
    <w:rsid w:val="0047034B"/>
    <w:rsid w:val="00471DA0"/>
    <w:rsid w:val="004737C9"/>
    <w:rsid w:val="00474004"/>
    <w:rsid w:val="00476445"/>
    <w:rsid w:val="00480750"/>
    <w:rsid w:val="00481845"/>
    <w:rsid w:val="00481B5D"/>
    <w:rsid w:val="00484BB2"/>
    <w:rsid w:val="00485CD7"/>
    <w:rsid w:val="004868FE"/>
    <w:rsid w:val="004900EB"/>
    <w:rsid w:val="00490244"/>
    <w:rsid w:val="0049104D"/>
    <w:rsid w:val="00494530"/>
    <w:rsid w:val="00495AF2"/>
    <w:rsid w:val="00496BD9"/>
    <w:rsid w:val="004A04F9"/>
    <w:rsid w:val="004A1158"/>
    <w:rsid w:val="004A1675"/>
    <w:rsid w:val="004A339F"/>
    <w:rsid w:val="004A3C67"/>
    <w:rsid w:val="004A479C"/>
    <w:rsid w:val="004A4B70"/>
    <w:rsid w:val="004A4B83"/>
    <w:rsid w:val="004A4CA8"/>
    <w:rsid w:val="004A531A"/>
    <w:rsid w:val="004A5EBD"/>
    <w:rsid w:val="004A6191"/>
    <w:rsid w:val="004A7B08"/>
    <w:rsid w:val="004B1B8B"/>
    <w:rsid w:val="004B20C8"/>
    <w:rsid w:val="004B36B0"/>
    <w:rsid w:val="004B72D8"/>
    <w:rsid w:val="004C1F3D"/>
    <w:rsid w:val="004C29FE"/>
    <w:rsid w:val="004C2EE7"/>
    <w:rsid w:val="004C47B5"/>
    <w:rsid w:val="004D0E34"/>
    <w:rsid w:val="004D24C3"/>
    <w:rsid w:val="004D2E8D"/>
    <w:rsid w:val="004D32B9"/>
    <w:rsid w:val="004D402B"/>
    <w:rsid w:val="004D4163"/>
    <w:rsid w:val="004D4B6F"/>
    <w:rsid w:val="004D57CA"/>
    <w:rsid w:val="004D5FEB"/>
    <w:rsid w:val="004D68CD"/>
    <w:rsid w:val="004D7E85"/>
    <w:rsid w:val="004E020B"/>
    <w:rsid w:val="004E06CF"/>
    <w:rsid w:val="004E1298"/>
    <w:rsid w:val="004E31FE"/>
    <w:rsid w:val="004E38C2"/>
    <w:rsid w:val="004E5C47"/>
    <w:rsid w:val="004E5C61"/>
    <w:rsid w:val="004E6591"/>
    <w:rsid w:val="004E6C48"/>
    <w:rsid w:val="004E7EDD"/>
    <w:rsid w:val="004F2D64"/>
    <w:rsid w:val="004F44AB"/>
    <w:rsid w:val="004F49AA"/>
    <w:rsid w:val="004F58B0"/>
    <w:rsid w:val="004F63C7"/>
    <w:rsid w:val="004F7927"/>
    <w:rsid w:val="0050338A"/>
    <w:rsid w:val="0050506B"/>
    <w:rsid w:val="00506750"/>
    <w:rsid w:val="00506E3F"/>
    <w:rsid w:val="00511D9D"/>
    <w:rsid w:val="0051501A"/>
    <w:rsid w:val="00517133"/>
    <w:rsid w:val="005226D9"/>
    <w:rsid w:val="00522AA9"/>
    <w:rsid w:val="0052476C"/>
    <w:rsid w:val="00526FE5"/>
    <w:rsid w:val="00527608"/>
    <w:rsid w:val="00527CD9"/>
    <w:rsid w:val="00532F49"/>
    <w:rsid w:val="00532F70"/>
    <w:rsid w:val="005333F7"/>
    <w:rsid w:val="00534AA2"/>
    <w:rsid w:val="0053591C"/>
    <w:rsid w:val="00537FB4"/>
    <w:rsid w:val="005422F3"/>
    <w:rsid w:val="00543F4B"/>
    <w:rsid w:val="0054645C"/>
    <w:rsid w:val="0054670A"/>
    <w:rsid w:val="00546F37"/>
    <w:rsid w:val="005505EB"/>
    <w:rsid w:val="005519D2"/>
    <w:rsid w:val="005522B2"/>
    <w:rsid w:val="00552C83"/>
    <w:rsid w:val="00553079"/>
    <w:rsid w:val="005535D6"/>
    <w:rsid w:val="00556815"/>
    <w:rsid w:val="00561313"/>
    <w:rsid w:val="00561EB7"/>
    <w:rsid w:val="005623B5"/>
    <w:rsid w:val="00562AA3"/>
    <w:rsid w:val="0056471F"/>
    <w:rsid w:val="00566375"/>
    <w:rsid w:val="005672B5"/>
    <w:rsid w:val="005715D2"/>
    <w:rsid w:val="00572D38"/>
    <w:rsid w:val="005731E4"/>
    <w:rsid w:val="005769CE"/>
    <w:rsid w:val="005774E8"/>
    <w:rsid w:val="005804B6"/>
    <w:rsid w:val="00580F08"/>
    <w:rsid w:val="0058111B"/>
    <w:rsid w:val="00583691"/>
    <w:rsid w:val="005839D4"/>
    <w:rsid w:val="005840D5"/>
    <w:rsid w:val="0058585C"/>
    <w:rsid w:val="00585B3B"/>
    <w:rsid w:val="005878DE"/>
    <w:rsid w:val="00587D07"/>
    <w:rsid w:val="00590E3E"/>
    <w:rsid w:val="0059130E"/>
    <w:rsid w:val="005915D8"/>
    <w:rsid w:val="005922C5"/>
    <w:rsid w:val="0059486B"/>
    <w:rsid w:val="00595868"/>
    <w:rsid w:val="00595F76"/>
    <w:rsid w:val="005976EC"/>
    <w:rsid w:val="005A0D21"/>
    <w:rsid w:val="005A1107"/>
    <w:rsid w:val="005A2274"/>
    <w:rsid w:val="005A2A0D"/>
    <w:rsid w:val="005A2D3F"/>
    <w:rsid w:val="005A3099"/>
    <w:rsid w:val="005A3EEF"/>
    <w:rsid w:val="005A44B8"/>
    <w:rsid w:val="005A5C93"/>
    <w:rsid w:val="005A675A"/>
    <w:rsid w:val="005B12A9"/>
    <w:rsid w:val="005B3F8A"/>
    <w:rsid w:val="005B485F"/>
    <w:rsid w:val="005B5F83"/>
    <w:rsid w:val="005B6E1F"/>
    <w:rsid w:val="005B71EC"/>
    <w:rsid w:val="005C126B"/>
    <w:rsid w:val="005C4E40"/>
    <w:rsid w:val="005C55CB"/>
    <w:rsid w:val="005C6163"/>
    <w:rsid w:val="005C71AA"/>
    <w:rsid w:val="005D1CD5"/>
    <w:rsid w:val="005D4764"/>
    <w:rsid w:val="005D6115"/>
    <w:rsid w:val="005D68AB"/>
    <w:rsid w:val="005D7733"/>
    <w:rsid w:val="005D7A03"/>
    <w:rsid w:val="005E07A1"/>
    <w:rsid w:val="005E1221"/>
    <w:rsid w:val="005E1835"/>
    <w:rsid w:val="005E2247"/>
    <w:rsid w:val="005E2531"/>
    <w:rsid w:val="005E2AE1"/>
    <w:rsid w:val="005E2DC1"/>
    <w:rsid w:val="005E5F0E"/>
    <w:rsid w:val="005E6280"/>
    <w:rsid w:val="005E7AAE"/>
    <w:rsid w:val="005F09CC"/>
    <w:rsid w:val="005F0D3F"/>
    <w:rsid w:val="005F2463"/>
    <w:rsid w:val="005F475A"/>
    <w:rsid w:val="005F5697"/>
    <w:rsid w:val="005F65F7"/>
    <w:rsid w:val="005F73F1"/>
    <w:rsid w:val="005F7528"/>
    <w:rsid w:val="00603857"/>
    <w:rsid w:val="00603B1E"/>
    <w:rsid w:val="00603DD7"/>
    <w:rsid w:val="006044D5"/>
    <w:rsid w:val="00610077"/>
    <w:rsid w:val="006103F9"/>
    <w:rsid w:val="00613094"/>
    <w:rsid w:val="0061400A"/>
    <w:rsid w:val="0061475C"/>
    <w:rsid w:val="006155DF"/>
    <w:rsid w:val="00615E3B"/>
    <w:rsid w:val="00616370"/>
    <w:rsid w:val="00616DF0"/>
    <w:rsid w:val="00616F5F"/>
    <w:rsid w:val="0062223C"/>
    <w:rsid w:val="0063031E"/>
    <w:rsid w:val="00630ECF"/>
    <w:rsid w:val="0063288F"/>
    <w:rsid w:val="00633772"/>
    <w:rsid w:val="0063454D"/>
    <w:rsid w:val="00634827"/>
    <w:rsid w:val="00634B30"/>
    <w:rsid w:val="00634B68"/>
    <w:rsid w:val="00636306"/>
    <w:rsid w:val="00636AAE"/>
    <w:rsid w:val="006411FC"/>
    <w:rsid w:val="006419ED"/>
    <w:rsid w:val="006424DA"/>
    <w:rsid w:val="00642531"/>
    <w:rsid w:val="006460FC"/>
    <w:rsid w:val="0065528E"/>
    <w:rsid w:val="00655584"/>
    <w:rsid w:val="00655D98"/>
    <w:rsid w:val="00656959"/>
    <w:rsid w:val="00657E1C"/>
    <w:rsid w:val="006601EF"/>
    <w:rsid w:val="00663552"/>
    <w:rsid w:val="00671167"/>
    <w:rsid w:val="006717B9"/>
    <w:rsid w:val="006725D7"/>
    <w:rsid w:val="00672651"/>
    <w:rsid w:val="00672BCC"/>
    <w:rsid w:val="00673A73"/>
    <w:rsid w:val="00674A85"/>
    <w:rsid w:val="00674C85"/>
    <w:rsid w:val="00675B77"/>
    <w:rsid w:val="006767CC"/>
    <w:rsid w:val="00676909"/>
    <w:rsid w:val="006773E4"/>
    <w:rsid w:val="00677FD0"/>
    <w:rsid w:val="0068217E"/>
    <w:rsid w:val="00684162"/>
    <w:rsid w:val="00685AAB"/>
    <w:rsid w:val="00685D61"/>
    <w:rsid w:val="006878D7"/>
    <w:rsid w:val="006925A7"/>
    <w:rsid w:val="00696879"/>
    <w:rsid w:val="00696FC3"/>
    <w:rsid w:val="00697125"/>
    <w:rsid w:val="006973A2"/>
    <w:rsid w:val="006A0713"/>
    <w:rsid w:val="006A07D7"/>
    <w:rsid w:val="006A0B2D"/>
    <w:rsid w:val="006A0CE1"/>
    <w:rsid w:val="006A1B53"/>
    <w:rsid w:val="006A1E1F"/>
    <w:rsid w:val="006A4920"/>
    <w:rsid w:val="006B0E5A"/>
    <w:rsid w:val="006B15AA"/>
    <w:rsid w:val="006B1682"/>
    <w:rsid w:val="006B636E"/>
    <w:rsid w:val="006B64DC"/>
    <w:rsid w:val="006C0125"/>
    <w:rsid w:val="006C3275"/>
    <w:rsid w:val="006C373A"/>
    <w:rsid w:val="006C45C4"/>
    <w:rsid w:val="006C4815"/>
    <w:rsid w:val="006C6A88"/>
    <w:rsid w:val="006C776E"/>
    <w:rsid w:val="006D016F"/>
    <w:rsid w:val="006D343A"/>
    <w:rsid w:val="006D3840"/>
    <w:rsid w:val="006D3FCF"/>
    <w:rsid w:val="006D5758"/>
    <w:rsid w:val="006E0D24"/>
    <w:rsid w:val="006E17B4"/>
    <w:rsid w:val="006E27FE"/>
    <w:rsid w:val="006E33CC"/>
    <w:rsid w:val="006E47DB"/>
    <w:rsid w:val="006E585A"/>
    <w:rsid w:val="006E6B2D"/>
    <w:rsid w:val="006E7656"/>
    <w:rsid w:val="006F1856"/>
    <w:rsid w:val="006F1B32"/>
    <w:rsid w:val="006F23A9"/>
    <w:rsid w:val="006F2555"/>
    <w:rsid w:val="006F26DC"/>
    <w:rsid w:val="006F3284"/>
    <w:rsid w:val="006F5AD2"/>
    <w:rsid w:val="006F6148"/>
    <w:rsid w:val="006F625E"/>
    <w:rsid w:val="006F6D02"/>
    <w:rsid w:val="006F7AEC"/>
    <w:rsid w:val="006F7D7F"/>
    <w:rsid w:val="00700602"/>
    <w:rsid w:val="0070187A"/>
    <w:rsid w:val="00701D2E"/>
    <w:rsid w:val="007049DF"/>
    <w:rsid w:val="0070506A"/>
    <w:rsid w:val="0070722E"/>
    <w:rsid w:val="007079C0"/>
    <w:rsid w:val="007101FF"/>
    <w:rsid w:val="007108FE"/>
    <w:rsid w:val="00712B84"/>
    <w:rsid w:val="007142D1"/>
    <w:rsid w:val="007147CA"/>
    <w:rsid w:val="00715B2E"/>
    <w:rsid w:val="00715BF1"/>
    <w:rsid w:val="00715D4E"/>
    <w:rsid w:val="00716F24"/>
    <w:rsid w:val="007172A7"/>
    <w:rsid w:val="007174C2"/>
    <w:rsid w:val="00717F9C"/>
    <w:rsid w:val="00720FCF"/>
    <w:rsid w:val="00721610"/>
    <w:rsid w:val="00721854"/>
    <w:rsid w:val="00722591"/>
    <w:rsid w:val="00722B76"/>
    <w:rsid w:val="00722E6B"/>
    <w:rsid w:val="0072593F"/>
    <w:rsid w:val="007266BF"/>
    <w:rsid w:val="00726F00"/>
    <w:rsid w:val="00731DAC"/>
    <w:rsid w:val="007322D1"/>
    <w:rsid w:val="007344C0"/>
    <w:rsid w:val="00736183"/>
    <w:rsid w:val="00736366"/>
    <w:rsid w:val="00740B4A"/>
    <w:rsid w:val="00742AD2"/>
    <w:rsid w:val="00743CA0"/>
    <w:rsid w:val="0074420F"/>
    <w:rsid w:val="00744CC6"/>
    <w:rsid w:val="00744FE8"/>
    <w:rsid w:val="007451AD"/>
    <w:rsid w:val="00745642"/>
    <w:rsid w:val="007479DD"/>
    <w:rsid w:val="00750681"/>
    <w:rsid w:val="00751147"/>
    <w:rsid w:val="00752869"/>
    <w:rsid w:val="00752A9D"/>
    <w:rsid w:val="00753666"/>
    <w:rsid w:val="007538E7"/>
    <w:rsid w:val="00753A8E"/>
    <w:rsid w:val="00753BB2"/>
    <w:rsid w:val="007540AE"/>
    <w:rsid w:val="00754AE3"/>
    <w:rsid w:val="007575BD"/>
    <w:rsid w:val="0076203C"/>
    <w:rsid w:val="007622EC"/>
    <w:rsid w:val="007622FC"/>
    <w:rsid w:val="00762855"/>
    <w:rsid w:val="007635CF"/>
    <w:rsid w:val="00763D5F"/>
    <w:rsid w:val="00767299"/>
    <w:rsid w:val="00767632"/>
    <w:rsid w:val="00767A2A"/>
    <w:rsid w:val="00767B76"/>
    <w:rsid w:val="0077048E"/>
    <w:rsid w:val="00770816"/>
    <w:rsid w:val="00770876"/>
    <w:rsid w:val="00771478"/>
    <w:rsid w:val="0077147D"/>
    <w:rsid w:val="00771BB2"/>
    <w:rsid w:val="0077205B"/>
    <w:rsid w:val="007727CE"/>
    <w:rsid w:val="0077309B"/>
    <w:rsid w:val="007762BF"/>
    <w:rsid w:val="00780DC1"/>
    <w:rsid w:val="00783725"/>
    <w:rsid w:val="007856C9"/>
    <w:rsid w:val="007878A5"/>
    <w:rsid w:val="0078795A"/>
    <w:rsid w:val="00787B91"/>
    <w:rsid w:val="00787BEA"/>
    <w:rsid w:val="007906FF"/>
    <w:rsid w:val="00792E9C"/>
    <w:rsid w:val="00795711"/>
    <w:rsid w:val="007975F7"/>
    <w:rsid w:val="007A0567"/>
    <w:rsid w:val="007A14D5"/>
    <w:rsid w:val="007A1A29"/>
    <w:rsid w:val="007A1F15"/>
    <w:rsid w:val="007A3109"/>
    <w:rsid w:val="007A3FB0"/>
    <w:rsid w:val="007A47B7"/>
    <w:rsid w:val="007A49CC"/>
    <w:rsid w:val="007B1C8F"/>
    <w:rsid w:val="007B2162"/>
    <w:rsid w:val="007B2993"/>
    <w:rsid w:val="007B2D01"/>
    <w:rsid w:val="007B2F4C"/>
    <w:rsid w:val="007B484F"/>
    <w:rsid w:val="007B6A28"/>
    <w:rsid w:val="007B6E65"/>
    <w:rsid w:val="007C073F"/>
    <w:rsid w:val="007C1853"/>
    <w:rsid w:val="007C29E8"/>
    <w:rsid w:val="007C2AA3"/>
    <w:rsid w:val="007C4A1F"/>
    <w:rsid w:val="007C5BB8"/>
    <w:rsid w:val="007C7D90"/>
    <w:rsid w:val="007D13F6"/>
    <w:rsid w:val="007D31CE"/>
    <w:rsid w:val="007D3EBE"/>
    <w:rsid w:val="007D418E"/>
    <w:rsid w:val="007D446A"/>
    <w:rsid w:val="007D4ECB"/>
    <w:rsid w:val="007D50D4"/>
    <w:rsid w:val="007D5155"/>
    <w:rsid w:val="007D5418"/>
    <w:rsid w:val="007D549C"/>
    <w:rsid w:val="007D54CE"/>
    <w:rsid w:val="007E128C"/>
    <w:rsid w:val="007E36D2"/>
    <w:rsid w:val="007E4811"/>
    <w:rsid w:val="007E58C0"/>
    <w:rsid w:val="007E60D1"/>
    <w:rsid w:val="007E6555"/>
    <w:rsid w:val="007F0A36"/>
    <w:rsid w:val="007F10AC"/>
    <w:rsid w:val="007F1766"/>
    <w:rsid w:val="007F449A"/>
    <w:rsid w:val="007F4F76"/>
    <w:rsid w:val="007F5728"/>
    <w:rsid w:val="007F5DE9"/>
    <w:rsid w:val="007F6616"/>
    <w:rsid w:val="007F6A76"/>
    <w:rsid w:val="008024C2"/>
    <w:rsid w:val="008028C0"/>
    <w:rsid w:val="008035E6"/>
    <w:rsid w:val="0080382A"/>
    <w:rsid w:val="00803BBB"/>
    <w:rsid w:val="008042AE"/>
    <w:rsid w:val="00804A82"/>
    <w:rsid w:val="0080567B"/>
    <w:rsid w:val="00806B4F"/>
    <w:rsid w:val="008101BB"/>
    <w:rsid w:val="0081054A"/>
    <w:rsid w:val="00811127"/>
    <w:rsid w:val="00811B44"/>
    <w:rsid w:val="0081305B"/>
    <w:rsid w:val="008138F6"/>
    <w:rsid w:val="008168E6"/>
    <w:rsid w:val="00817D6E"/>
    <w:rsid w:val="00820D3F"/>
    <w:rsid w:val="00820E1D"/>
    <w:rsid w:val="008221BE"/>
    <w:rsid w:val="00822368"/>
    <w:rsid w:val="00822590"/>
    <w:rsid w:val="008240C8"/>
    <w:rsid w:val="0082453D"/>
    <w:rsid w:val="00825C1E"/>
    <w:rsid w:val="00825DDA"/>
    <w:rsid w:val="00826232"/>
    <w:rsid w:val="00826689"/>
    <w:rsid w:val="0082778E"/>
    <w:rsid w:val="00831D2B"/>
    <w:rsid w:val="00832351"/>
    <w:rsid w:val="00832A15"/>
    <w:rsid w:val="00832FD8"/>
    <w:rsid w:val="008335EF"/>
    <w:rsid w:val="00833A8A"/>
    <w:rsid w:val="0083462C"/>
    <w:rsid w:val="008355DA"/>
    <w:rsid w:val="00835FEB"/>
    <w:rsid w:val="00836444"/>
    <w:rsid w:val="00837606"/>
    <w:rsid w:val="00837736"/>
    <w:rsid w:val="00840561"/>
    <w:rsid w:val="00841672"/>
    <w:rsid w:val="0084200C"/>
    <w:rsid w:val="00842196"/>
    <w:rsid w:val="0084333F"/>
    <w:rsid w:val="00843907"/>
    <w:rsid w:val="0084422D"/>
    <w:rsid w:val="008455D6"/>
    <w:rsid w:val="00845F39"/>
    <w:rsid w:val="0084626A"/>
    <w:rsid w:val="00850292"/>
    <w:rsid w:val="00851345"/>
    <w:rsid w:val="00852E0A"/>
    <w:rsid w:val="00853037"/>
    <w:rsid w:val="008541D6"/>
    <w:rsid w:val="008549DE"/>
    <w:rsid w:val="00855668"/>
    <w:rsid w:val="00855D62"/>
    <w:rsid w:val="00856222"/>
    <w:rsid w:val="00856F0C"/>
    <w:rsid w:val="00857376"/>
    <w:rsid w:val="008574A8"/>
    <w:rsid w:val="0085786F"/>
    <w:rsid w:val="00857F1C"/>
    <w:rsid w:val="00857F94"/>
    <w:rsid w:val="00863B4F"/>
    <w:rsid w:val="00863CAC"/>
    <w:rsid w:val="00864472"/>
    <w:rsid w:val="00864F96"/>
    <w:rsid w:val="008654CA"/>
    <w:rsid w:val="00870C4F"/>
    <w:rsid w:val="00870CF9"/>
    <w:rsid w:val="00873FBA"/>
    <w:rsid w:val="00874428"/>
    <w:rsid w:val="0087442A"/>
    <w:rsid w:val="00874995"/>
    <w:rsid w:val="00875098"/>
    <w:rsid w:val="008764A3"/>
    <w:rsid w:val="00876535"/>
    <w:rsid w:val="008765C2"/>
    <w:rsid w:val="00876640"/>
    <w:rsid w:val="008777D8"/>
    <w:rsid w:val="00880206"/>
    <w:rsid w:val="008807C3"/>
    <w:rsid w:val="00880A45"/>
    <w:rsid w:val="00880F30"/>
    <w:rsid w:val="008811F3"/>
    <w:rsid w:val="00883652"/>
    <w:rsid w:val="00883B4D"/>
    <w:rsid w:val="00884347"/>
    <w:rsid w:val="00884362"/>
    <w:rsid w:val="008844FC"/>
    <w:rsid w:val="008921D3"/>
    <w:rsid w:val="00892C95"/>
    <w:rsid w:val="00893202"/>
    <w:rsid w:val="008A0C65"/>
    <w:rsid w:val="008A10E2"/>
    <w:rsid w:val="008A23BE"/>
    <w:rsid w:val="008A23D3"/>
    <w:rsid w:val="008A302E"/>
    <w:rsid w:val="008A396F"/>
    <w:rsid w:val="008A4219"/>
    <w:rsid w:val="008B12B2"/>
    <w:rsid w:val="008B231E"/>
    <w:rsid w:val="008B244B"/>
    <w:rsid w:val="008B4C14"/>
    <w:rsid w:val="008B6A3E"/>
    <w:rsid w:val="008B6EE9"/>
    <w:rsid w:val="008C0405"/>
    <w:rsid w:val="008C1960"/>
    <w:rsid w:val="008C3054"/>
    <w:rsid w:val="008C3351"/>
    <w:rsid w:val="008C3FC4"/>
    <w:rsid w:val="008C556A"/>
    <w:rsid w:val="008D0939"/>
    <w:rsid w:val="008D1B4E"/>
    <w:rsid w:val="008D3378"/>
    <w:rsid w:val="008D3D1F"/>
    <w:rsid w:val="008D4399"/>
    <w:rsid w:val="008D54AB"/>
    <w:rsid w:val="008D578D"/>
    <w:rsid w:val="008D5D20"/>
    <w:rsid w:val="008D60BE"/>
    <w:rsid w:val="008D6B1D"/>
    <w:rsid w:val="008E046C"/>
    <w:rsid w:val="008E1928"/>
    <w:rsid w:val="008E1BD6"/>
    <w:rsid w:val="008E1F02"/>
    <w:rsid w:val="008E205D"/>
    <w:rsid w:val="008E2433"/>
    <w:rsid w:val="008E2888"/>
    <w:rsid w:val="008E2A81"/>
    <w:rsid w:val="008E2C48"/>
    <w:rsid w:val="008E3003"/>
    <w:rsid w:val="008E769D"/>
    <w:rsid w:val="008E7F7B"/>
    <w:rsid w:val="008F0BCC"/>
    <w:rsid w:val="008F1DDC"/>
    <w:rsid w:val="008F20FF"/>
    <w:rsid w:val="008F3F3C"/>
    <w:rsid w:val="008F48AE"/>
    <w:rsid w:val="008F6952"/>
    <w:rsid w:val="008F74CA"/>
    <w:rsid w:val="008F7D6B"/>
    <w:rsid w:val="00901EC5"/>
    <w:rsid w:val="0090222C"/>
    <w:rsid w:val="00902EB7"/>
    <w:rsid w:val="00903459"/>
    <w:rsid w:val="00904562"/>
    <w:rsid w:val="0090731E"/>
    <w:rsid w:val="009076A9"/>
    <w:rsid w:val="009076CE"/>
    <w:rsid w:val="009115C5"/>
    <w:rsid w:val="00912EE6"/>
    <w:rsid w:val="0091670F"/>
    <w:rsid w:val="0091736D"/>
    <w:rsid w:val="009175B9"/>
    <w:rsid w:val="0092082A"/>
    <w:rsid w:val="009216C4"/>
    <w:rsid w:val="00921C70"/>
    <w:rsid w:val="00921C93"/>
    <w:rsid w:val="00922EE8"/>
    <w:rsid w:val="0092336B"/>
    <w:rsid w:val="0092423F"/>
    <w:rsid w:val="0092527D"/>
    <w:rsid w:val="00926483"/>
    <w:rsid w:val="00927F14"/>
    <w:rsid w:val="0093101A"/>
    <w:rsid w:val="00931BDA"/>
    <w:rsid w:val="00933B1B"/>
    <w:rsid w:val="0093472E"/>
    <w:rsid w:val="00935A08"/>
    <w:rsid w:val="00936026"/>
    <w:rsid w:val="0093637A"/>
    <w:rsid w:val="00937D45"/>
    <w:rsid w:val="009403EC"/>
    <w:rsid w:val="009422DB"/>
    <w:rsid w:val="00943449"/>
    <w:rsid w:val="00943D54"/>
    <w:rsid w:val="009453A8"/>
    <w:rsid w:val="00945869"/>
    <w:rsid w:val="00947075"/>
    <w:rsid w:val="0094764C"/>
    <w:rsid w:val="009501A6"/>
    <w:rsid w:val="00950550"/>
    <w:rsid w:val="009516A4"/>
    <w:rsid w:val="0095284E"/>
    <w:rsid w:val="009536F9"/>
    <w:rsid w:val="00955DE8"/>
    <w:rsid w:val="00956AB7"/>
    <w:rsid w:val="00960B87"/>
    <w:rsid w:val="0096115E"/>
    <w:rsid w:val="009618A6"/>
    <w:rsid w:val="009633B3"/>
    <w:rsid w:val="0096395A"/>
    <w:rsid w:val="0096444C"/>
    <w:rsid w:val="009652BD"/>
    <w:rsid w:val="00965EC4"/>
    <w:rsid w:val="00967E0C"/>
    <w:rsid w:val="00970D07"/>
    <w:rsid w:val="00971ABE"/>
    <w:rsid w:val="00971F8D"/>
    <w:rsid w:val="00972649"/>
    <w:rsid w:val="00972D87"/>
    <w:rsid w:val="009730AC"/>
    <w:rsid w:val="009746F9"/>
    <w:rsid w:val="009756AD"/>
    <w:rsid w:val="009756DD"/>
    <w:rsid w:val="00975826"/>
    <w:rsid w:val="00984073"/>
    <w:rsid w:val="00984122"/>
    <w:rsid w:val="00984969"/>
    <w:rsid w:val="00984F40"/>
    <w:rsid w:val="0098576B"/>
    <w:rsid w:val="00985F14"/>
    <w:rsid w:val="0098679F"/>
    <w:rsid w:val="00986DCF"/>
    <w:rsid w:val="00990424"/>
    <w:rsid w:val="0099099B"/>
    <w:rsid w:val="00992356"/>
    <w:rsid w:val="0099242D"/>
    <w:rsid w:val="009929D4"/>
    <w:rsid w:val="009944A0"/>
    <w:rsid w:val="00997A6C"/>
    <w:rsid w:val="00997F53"/>
    <w:rsid w:val="009A01EC"/>
    <w:rsid w:val="009A03BA"/>
    <w:rsid w:val="009A086C"/>
    <w:rsid w:val="009A11F1"/>
    <w:rsid w:val="009A6412"/>
    <w:rsid w:val="009A6751"/>
    <w:rsid w:val="009B04B1"/>
    <w:rsid w:val="009B0D36"/>
    <w:rsid w:val="009B0E90"/>
    <w:rsid w:val="009B116A"/>
    <w:rsid w:val="009B1C40"/>
    <w:rsid w:val="009B3001"/>
    <w:rsid w:val="009B66F5"/>
    <w:rsid w:val="009B6A9A"/>
    <w:rsid w:val="009B6BB6"/>
    <w:rsid w:val="009B6FC7"/>
    <w:rsid w:val="009B79AE"/>
    <w:rsid w:val="009B7EFC"/>
    <w:rsid w:val="009B7F09"/>
    <w:rsid w:val="009C01BF"/>
    <w:rsid w:val="009C04D4"/>
    <w:rsid w:val="009C07B2"/>
    <w:rsid w:val="009C1319"/>
    <w:rsid w:val="009C1AAE"/>
    <w:rsid w:val="009C2307"/>
    <w:rsid w:val="009C2E3D"/>
    <w:rsid w:val="009C3181"/>
    <w:rsid w:val="009C3833"/>
    <w:rsid w:val="009C4EA2"/>
    <w:rsid w:val="009C5FCF"/>
    <w:rsid w:val="009D0EEE"/>
    <w:rsid w:val="009D1559"/>
    <w:rsid w:val="009D1675"/>
    <w:rsid w:val="009D25F2"/>
    <w:rsid w:val="009D2852"/>
    <w:rsid w:val="009D3194"/>
    <w:rsid w:val="009D706A"/>
    <w:rsid w:val="009E09DA"/>
    <w:rsid w:val="009E20E6"/>
    <w:rsid w:val="009E2107"/>
    <w:rsid w:val="009E25B7"/>
    <w:rsid w:val="009E2E65"/>
    <w:rsid w:val="009E4957"/>
    <w:rsid w:val="009E4DFB"/>
    <w:rsid w:val="009E6226"/>
    <w:rsid w:val="009E6693"/>
    <w:rsid w:val="009E670B"/>
    <w:rsid w:val="009E6C3E"/>
    <w:rsid w:val="009F18BE"/>
    <w:rsid w:val="009F41B1"/>
    <w:rsid w:val="009F5EF1"/>
    <w:rsid w:val="009F6A5B"/>
    <w:rsid w:val="009F6D39"/>
    <w:rsid w:val="009F6E83"/>
    <w:rsid w:val="009F7E58"/>
    <w:rsid w:val="00A00148"/>
    <w:rsid w:val="00A018E0"/>
    <w:rsid w:val="00A01D7A"/>
    <w:rsid w:val="00A032BC"/>
    <w:rsid w:val="00A03801"/>
    <w:rsid w:val="00A04860"/>
    <w:rsid w:val="00A04960"/>
    <w:rsid w:val="00A053B9"/>
    <w:rsid w:val="00A06E45"/>
    <w:rsid w:val="00A075D1"/>
    <w:rsid w:val="00A07E41"/>
    <w:rsid w:val="00A07EC6"/>
    <w:rsid w:val="00A1022F"/>
    <w:rsid w:val="00A117C9"/>
    <w:rsid w:val="00A11E3B"/>
    <w:rsid w:val="00A13234"/>
    <w:rsid w:val="00A14F21"/>
    <w:rsid w:val="00A209D1"/>
    <w:rsid w:val="00A225C7"/>
    <w:rsid w:val="00A22F3B"/>
    <w:rsid w:val="00A23C49"/>
    <w:rsid w:val="00A23CAC"/>
    <w:rsid w:val="00A23F2A"/>
    <w:rsid w:val="00A2408D"/>
    <w:rsid w:val="00A25341"/>
    <w:rsid w:val="00A25EEF"/>
    <w:rsid w:val="00A2756F"/>
    <w:rsid w:val="00A320F2"/>
    <w:rsid w:val="00A32D22"/>
    <w:rsid w:val="00A34524"/>
    <w:rsid w:val="00A34AC9"/>
    <w:rsid w:val="00A34B4E"/>
    <w:rsid w:val="00A3506A"/>
    <w:rsid w:val="00A350C6"/>
    <w:rsid w:val="00A354C9"/>
    <w:rsid w:val="00A356BD"/>
    <w:rsid w:val="00A357EE"/>
    <w:rsid w:val="00A37EBF"/>
    <w:rsid w:val="00A41DE6"/>
    <w:rsid w:val="00A433C3"/>
    <w:rsid w:val="00A45704"/>
    <w:rsid w:val="00A4651A"/>
    <w:rsid w:val="00A501BD"/>
    <w:rsid w:val="00A51A9C"/>
    <w:rsid w:val="00A51ACA"/>
    <w:rsid w:val="00A52D48"/>
    <w:rsid w:val="00A56BBB"/>
    <w:rsid w:val="00A57A35"/>
    <w:rsid w:val="00A605EB"/>
    <w:rsid w:val="00A62661"/>
    <w:rsid w:val="00A629ED"/>
    <w:rsid w:val="00A6313B"/>
    <w:rsid w:val="00A63389"/>
    <w:rsid w:val="00A63654"/>
    <w:rsid w:val="00A6613A"/>
    <w:rsid w:val="00A6667B"/>
    <w:rsid w:val="00A6682A"/>
    <w:rsid w:val="00A66C2B"/>
    <w:rsid w:val="00A674C1"/>
    <w:rsid w:val="00A701ED"/>
    <w:rsid w:val="00A71E78"/>
    <w:rsid w:val="00A73D3C"/>
    <w:rsid w:val="00A7742C"/>
    <w:rsid w:val="00A82222"/>
    <w:rsid w:val="00A83651"/>
    <w:rsid w:val="00A83876"/>
    <w:rsid w:val="00A83A05"/>
    <w:rsid w:val="00A861DB"/>
    <w:rsid w:val="00A864CF"/>
    <w:rsid w:val="00A86DA3"/>
    <w:rsid w:val="00A8712F"/>
    <w:rsid w:val="00A90592"/>
    <w:rsid w:val="00A91486"/>
    <w:rsid w:val="00A9252A"/>
    <w:rsid w:val="00A92608"/>
    <w:rsid w:val="00A94362"/>
    <w:rsid w:val="00A94465"/>
    <w:rsid w:val="00A94873"/>
    <w:rsid w:val="00A9557B"/>
    <w:rsid w:val="00A970B7"/>
    <w:rsid w:val="00A971B6"/>
    <w:rsid w:val="00A97BB8"/>
    <w:rsid w:val="00AA14BA"/>
    <w:rsid w:val="00AA1B2A"/>
    <w:rsid w:val="00AA4CFE"/>
    <w:rsid w:val="00AA5C68"/>
    <w:rsid w:val="00AA5D41"/>
    <w:rsid w:val="00AA61A3"/>
    <w:rsid w:val="00AA6541"/>
    <w:rsid w:val="00AA7751"/>
    <w:rsid w:val="00AB0773"/>
    <w:rsid w:val="00AB198A"/>
    <w:rsid w:val="00AB1D69"/>
    <w:rsid w:val="00AB2DF8"/>
    <w:rsid w:val="00AB35BF"/>
    <w:rsid w:val="00AB4288"/>
    <w:rsid w:val="00AB4800"/>
    <w:rsid w:val="00AB7BF9"/>
    <w:rsid w:val="00AC23B9"/>
    <w:rsid w:val="00AC2B87"/>
    <w:rsid w:val="00AC2DD9"/>
    <w:rsid w:val="00AC51BE"/>
    <w:rsid w:val="00AD0745"/>
    <w:rsid w:val="00AD112B"/>
    <w:rsid w:val="00AD1195"/>
    <w:rsid w:val="00AD20FF"/>
    <w:rsid w:val="00AD35A7"/>
    <w:rsid w:val="00AD367B"/>
    <w:rsid w:val="00AD6852"/>
    <w:rsid w:val="00AD7193"/>
    <w:rsid w:val="00AD7214"/>
    <w:rsid w:val="00AD782C"/>
    <w:rsid w:val="00AE07DF"/>
    <w:rsid w:val="00AE170E"/>
    <w:rsid w:val="00AE4B8D"/>
    <w:rsid w:val="00AE5B8D"/>
    <w:rsid w:val="00AE6549"/>
    <w:rsid w:val="00AE6A0C"/>
    <w:rsid w:val="00AE6E1B"/>
    <w:rsid w:val="00AE7EF5"/>
    <w:rsid w:val="00AF14FE"/>
    <w:rsid w:val="00AF15FD"/>
    <w:rsid w:val="00AF178B"/>
    <w:rsid w:val="00AF1BE6"/>
    <w:rsid w:val="00AF38B5"/>
    <w:rsid w:val="00AF52D8"/>
    <w:rsid w:val="00AF5C3B"/>
    <w:rsid w:val="00AF79F2"/>
    <w:rsid w:val="00B01DF7"/>
    <w:rsid w:val="00B03407"/>
    <w:rsid w:val="00B0375F"/>
    <w:rsid w:val="00B039D0"/>
    <w:rsid w:val="00B057D6"/>
    <w:rsid w:val="00B07D52"/>
    <w:rsid w:val="00B10B2B"/>
    <w:rsid w:val="00B117CE"/>
    <w:rsid w:val="00B12760"/>
    <w:rsid w:val="00B1317F"/>
    <w:rsid w:val="00B13BC1"/>
    <w:rsid w:val="00B1401F"/>
    <w:rsid w:val="00B158BF"/>
    <w:rsid w:val="00B15E37"/>
    <w:rsid w:val="00B15F33"/>
    <w:rsid w:val="00B212B1"/>
    <w:rsid w:val="00B259F3"/>
    <w:rsid w:val="00B25B55"/>
    <w:rsid w:val="00B30252"/>
    <w:rsid w:val="00B31436"/>
    <w:rsid w:val="00B3169E"/>
    <w:rsid w:val="00B31E53"/>
    <w:rsid w:val="00B329D3"/>
    <w:rsid w:val="00B331D7"/>
    <w:rsid w:val="00B3453A"/>
    <w:rsid w:val="00B34A45"/>
    <w:rsid w:val="00B3545E"/>
    <w:rsid w:val="00B359A7"/>
    <w:rsid w:val="00B35E6E"/>
    <w:rsid w:val="00B37998"/>
    <w:rsid w:val="00B37CB6"/>
    <w:rsid w:val="00B4219D"/>
    <w:rsid w:val="00B43721"/>
    <w:rsid w:val="00B44EC3"/>
    <w:rsid w:val="00B44EC7"/>
    <w:rsid w:val="00B46BE3"/>
    <w:rsid w:val="00B503B4"/>
    <w:rsid w:val="00B51C2C"/>
    <w:rsid w:val="00B52A34"/>
    <w:rsid w:val="00B52D4C"/>
    <w:rsid w:val="00B536BC"/>
    <w:rsid w:val="00B53CD8"/>
    <w:rsid w:val="00B53DB9"/>
    <w:rsid w:val="00B56C02"/>
    <w:rsid w:val="00B603F7"/>
    <w:rsid w:val="00B60FA3"/>
    <w:rsid w:val="00B61E53"/>
    <w:rsid w:val="00B62B92"/>
    <w:rsid w:val="00B62E41"/>
    <w:rsid w:val="00B635A7"/>
    <w:rsid w:val="00B637FD"/>
    <w:rsid w:val="00B63A62"/>
    <w:rsid w:val="00B6403E"/>
    <w:rsid w:val="00B64733"/>
    <w:rsid w:val="00B66268"/>
    <w:rsid w:val="00B66453"/>
    <w:rsid w:val="00B66678"/>
    <w:rsid w:val="00B67AB6"/>
    <w:rsid w:val="00B67C87"/>
    <w:rsid w:val="00B704D1"/>
    <w:rsid w:val="00B70D5D"/>
    <w:rsid w:val="00B7113F"/>
    <w:rsid w:val="00B72D4B"/>
    <w:rsid w:val="00B73301"/>
    <w:rsid w:val="00B73FA3"/>
    <w:rsid w:val="00B771B4"/>
    <w:rsid w:val="00B77929"/>
    <w:rsid w:val="00B809A4"/>
    <w:rsid w:val="00B81C8E"/>
    <w:rsid w:val="00B83C2B"/>
    <w:rsid w:val="00B84124"/>
    <w:rsid w:val="00B85F88"/>
    <w:rsid w:val="00B8615F"/>
    <w:rsid w:val="00B9048F"/>
    <w:rsid w:val="00B91DCC"/>
    <w:rsid w:val="00B93222"/>
    <w:rsid w:val="00B9358D"/>
    <w:rsid w:val="00B94397"/>
    <w:rsid w:val="00B94D05"/>
    <w:rsid w:val="00B956C2"/>
    <w:rsid w:val="00B97E79"/>
    <w:rsid w:val="00BA062D"/>
    <w:rsid w:val="00BA0FB4"/>
    <w:rsid w:val="00BA1029"/>
    <w:rsid w:val="00BA1856"/>
    <w:rsid w:val="00BA3EEB"/>
    <w:rsid w:val="00BA611B"/>
    <w:rsid w:val="00BB06BE"/>
    <w:rsid w:val="00BB0A74"/>
    <w:rsid w:val="00BB0AC0"/>
    <w:rsid w:val="00BB1080"/>
    <w:rsid w:val="00BB163A"/>
    <w:rsid w:val="00BB2A0E"/>
    <w:rsid w:val="00BB3815"/>
    <w:rsid w:val="00BB3A2D"/>
    <w:rsid w:val="00BB48C4"/>
    <w:rsid w:val="00BB59DC"/>
    <w:rsid w:val="00BB5CE5"/>
    <w:rsid w:val="00BB7165"/>
    <w:rsid w:val="00BB7374"/>
    <w:rsid w:val="00BB7C3C"/>
    <w:rsid w:val="00BB7D34"/>
    <w:rsid w:val="00BC0981"/>
    <w:rsid w:val="00BC0D10"/>
    <w:rsid w:val="00BC24F0"/>
    <w:rsid w:val="00BC30E2"/>
    <w:rsid w:val="00BC3E5A"/>
    <w:rsid w:val="00BC44F4"/>
    <w:rsid w:val="00BC67E0"/>
    <w:rsid w:val="00BC774A"/>
    <w:rsid w:val="00BC7A0A"/>
    <w:rsid w:val="00BC7A55"/>
    <w:rsid w:val="00BD126E"/>
    <w:rsid w:val="00BD17CD"/>
    <w:rsid w:val="00BD32EE"/>
    <w:rsid w:val="00BD63B9"/>
    <w:rsid w:val="00BD6415"/>
    <w:rsid w:val="00BE32DC"/>
    <w:rsid w:val="00BE47D4"/>
    <w:rsid w:val="00BE6554"/>
    <w:rsid w:val="00BE6867"/>
    <w:rsid w:val="00BE7095"/>
    <w:rsid w:val="00BE71C9"/>
    <w:rsid w:val="00BF0197"/>
    <w:rsid w:val="00BF28EA"/>
    <w:rsid w:val="00BF4D1E"/>
    <w:rsid w:val="00BF4FED"/>
    <w:rsid w:val="00BF5D2D"/>
    <w:rsid w:val="00BF6451"/>
    <w:rsid w:val="00BF6C26"/>
    <w:rsid w:val="00BF7E8D"/>
    <w:rsid w:val="00C003AA"/>
    <w:rsid w:val="00C012B0"/>
    <w:rsid w:val="00C015C9"/>
    <w:rsid w:val="00C02D38"/>
    <w:rsid w:val="00C055DD"/>
    <w:rsid w:val="00C068F1"/>
    <w:rsid w:val="00C06F6E"/>
    <w:rsid w:val="00C10AC5"/>
    <w:rsid w:val="00C11562"/>
    <w:rsid w:val="00C12622"/>
    <w:rsid w:val="00C13AC5"/>
    <w:rsid w:val="00C1411E"/>
    <w:rsid w:val="00C1567C"/>
    <w:rsid w:val="00C166AD"/>
    <w:rsid w:val="00C16796"/>
    <w:rsid w:val="00C216FC"/>
    <w:rsid w:val="00C21919"/>
    <w:rsid w:val="00C22AE7"/>
    <w:rsid w:val="00C240A3"/>
    <w:rsid w:val="00C24CDF"/>
    <w:rsid w:val="00C2560A"/>
    <w:rsid w:val="00C27747"/>
    <w:rsid w:val="00C27F92"/>
    <w:rsid w:val="00C30092"/>
    <w:rsid w:val="00C304D6"/>
    <w:rsid w:val="00C31077"/>
    <w:rsid w:val="00C32109"/>
    <w:rsid w:val="00C32515"/>
    <w:rsid w:val="00C32EDC"/>
    <w:rsid w:val="00C331FB"/>
    <w:rsid w:val="00C33B4A"/>
    <w:rsid w:val="00C33F8B"/>
    <w:rsid w:val="00C349E9"/>
    <w:rsid w:val="00C40136"/>
    <w:rsid w:val="00C41073"/>
    <w:rsid w:val="00C4259B"/>
    <w:rsid w:val="00C434B2"/>
    <w:rsid w:val="00C442EE"/>
    <w:rsid w:val="00C44493"/>
    <w:rsid w:val="00C44552"/>
    <w:rsid w:val="00C453BE"/>
    <w:rsid w:val="00C4566A"/>
    <w:rsid w:val="00C50270"/>
    <w:rsid w:val="00C51176"/>
    <w:rsid w:val="00C51E2C"/>
    <w:rsid w:val="00C5316C"/>
    <w:rsid w:val="00C53714"/>
    <w:rsid w:val="00C53A30"/>
    <w:rsid w:val="00C54DC6"/>
    <w:rsid w:val="00C54FB9"/>
    <w:rsid w:val="00C55474"/>
    <w:rsid w:val="00C55620"/>
    <w:rsid w:val="00C559B4"/>
    <w:rsid w:val="00C55F63"/>
    <w:rsid w:val="00C56DA9"/>
    <w:rsid w:val="00C57D1A"/>
    <w:rsid w:val="00C57F0B"/>
    <w:rsid w:val="00C612FF"/>
    <w:rsid w:val="00C61765"/>
    <w:rsid w:val="00C62AAD"/>
    <w:rsid w:val="00C62F56"/>
    <w:rsid w:val="00C63B13"/>
    <w:rsid w:val="00C6704C"/>
    <w:rsid w:val="00C7098D"/>
    <w:rsid w:val="00C75CB3"/>
    <w:rsid w:val="00C80C94"/>
    <w:rsid w:val="00C81A0D"/>
    <w:rsid w:val="00C8205D"/>
    <w:rsid w:val="00C82582"/>
    <w:rsid w:val="00C8324F"/>
    <w:rsid w:val="00C837E2"/>
    <w:rsid w:val="00C84129"/>
    <w:rsid w:val="00C8437E"/>
    <w:rsid w:val="00C846E2"/>
    <w:rsid w:val="00C84B04"/>
    <w:rsid w:val="00C861CB"/>
    <w:rsid w:val="00C8667D"/>
    <w:rsid w:val="00C906A0"/>
    <w:rsid w:val="00C90DF4"/>
    <w:rsid w:val="00C92B46"/>
    <w:rsid w:val="00C94765"/>
    <w:rsid w:val="00C94F83"/>
    <w:rsid w:val="00C9527E"/>
    <w:rsid w:val="00C9642C"/>
    <w:rsid w:val="00C972A5"/>
    <w:rsid w:val="00C97C1F"/>
    <w:rsid w:val="00CA1966"/>
    <w:rsid w:val="00CA1E81"/>
    <w:rsid w:val="00CA2C99"/>
    <w:rsid w:val="00CA4CC4"/>
    <w:rsid w:val="00CA4D82"/>
    <w:rsid w:val="00CA5B65"/>
    <w:rsid w:val="00CA6A91"/>
    <w:rsid w:val="00CA7609"/>
    <w:rsid w:val="00CB0356"/>
    <w:rsid w:val="00CB2B31"/>
    <w:rsid w:val="00CB3364"/>
    <w:rsid w:val="00CB3B4D"/>
    <w:rsid w:val="00CB41F9"/>
    <w:rsid w:val="00CB4949"/>
    <w:rsid w:val="00CB5CDE"/>
    <w:rsid w:val="00CB5D48"/>
    <w:rsid w:val="00CB6AE2"/>
    <w:rsid w:val="00CB6DE6"/>
    <w:rsid w:val="00CB73AE"/>
    <w:rsid w:val="00CB7C68"/>
    <w:rsid w:val="00CC1C33"/>
    <w:rsid w:val="00CC3847"/>
    <w:rsid w:val="00CC40AC"/>
    <w:rsid w:val="00CC45B0"/>
    <w:rsid w:val="00CC54BD"/>
    <w:rsid w:val="00CC57DA"/>
    <w:rsid w:val="00CC5ECA"/>
    <w:rsid w:val="00CC5F6C"/>
    <w:rsid w:val="00CC6ACE"/>
    <w:rsid w:val="00CC7AEB"/>
    <w:rsid w:val="00CC7F54"/>
    <w:rsid w:val="00CD09D1"/>
    <w:rsid w:val="00CD1626"/>
    <w:rsid w:val="00CD20BC"/>
    <w:rsid w:val="00CD3636"/>
    <w:rsid w:val="00CD38D7"/>
    <w:rsid w:val="00CD42B4"/>
    <w:rsid w:val="00CD538E"/>
    <w:rsid w:val="00CD6015"/>
    <w:rsid w:val="00CD63D9"/>
    <w:rsid w:val="00CE0960"/>
    <w:rsid w:val="00CE140D"/>
    <w:rsid w:val="00CE4BF1"/>
    <w:rsid w:val="00CE6417"/>
    <w:rsid w:val="00CF189E"/>
    <w:rsid w:val="00CF2A2E"/>
    <w:rsid w:val="00CF4E35"/>
    <w:rsid w:val="00CF529B"/>
    <w:rsid w:val="00CF55BA"/>
    <w:rsid w:val="00CF590F"/>
    <w:rsid w:val="00CF6EC1"/>
    <w:rsid w:val="00CF78AF"/>
    <w:rsid w:val="00CF7983"/>
    <w:rsid w:val="00CF7D5E"/>
    <w:rsid w:val="00CF7ED5"/>
    <w:rsid w:val="00D02421"/>
    <w:rsid w:val="00D02561"/>
    <w:rsid w:val="00D044A4"/>
    <w:rsid w:val="00D046D3"/>
    <w:rsid w:val="00D04FA3"/>
    <w:rsid w:val="00D050B0"/>
    <w:rsid w:val="00D053BD"/>
    <w:rsid w:val="00D10E78"/>
    <w:rsid w:val="00D11F44"/>
    <w:rsid w:val="00D1308B"/>
    <w:rsid w:val="00D13476"/>
    <w:rsid w:val="00D1618B"/>
    <w:rsid w:val="00D21050"/>
    <w:rsid w:val="00D22A2B"/>
    <w:rsid w:val="00D22FA3"/>
    <w:rsid w:val="00D240BA"/>
    <w:rsid w:val="00D24655"/>
    <w:rsid w:val="00D248BC"/>
    <w:rsid w:val="00D24BD4"/>
    <w:rsid w:val="00D2576A"/>
    <w:rsid w:val="00D27B6B"/>
    <w:rsid w:val="00D3111F"/>
    <w:rsid w:val="00D312E4"/>
    <w:rsid w:val="00D3291C"/>
    <w:rsid w:val="00D34377"/>
    <w:rsid w:val="00D377C6"/>
    <w:rsid w:val="00D41969"/>
    <w:rsid w:val="00D420FC"/>
    <w:rsid w:val="00D42674"/>
    <w:rsid w:val="00D44B02"/>
    <w:rsid w:val="00D46190"/>
    <w:rsid w:val="00D47954"/>
    <w:rsid w:val="00D534D2"/>
    <w:rsid w:val="00D55226"/>
    <w:rsid w:val="00D61BA2"/>
    <w:rsid w:val="00D620AF"/>
    <w:rsid w:val="00D63B8C"/>
    <w:rsid w:val="00D63CF8"/>
    <w:rsid w:val="00D64ABE"/>
    <w:rsid w:val="00D66091"/>
    <w:rsid w:val="00D66533"/>
    <w:rsid w:val="00D66A9C"/>
    <w:rsid w:val="00D67489"/>
    <w:rsid w:val="00D67CD4"/>
    <w:rsid w:val="00D67E57"/>
    <w:rsid w:val="00D701D1"/>
    <w:rsid w:val="00D7039D"/>
    <w:rsid w:val="00D71144"/>
    <w:rsid w:val="00D72366"/>
    <w:rsid w:val="00D75341"/>
    <w:rsid w:val="00D77317"/>
    <w:rsid w:val="00D777FC"/>
    <w:rsid w:val="00D80159"/>
    <w:rsid w:val="00D803CA"/>
    <w:rsid w:val="00D83677"/>
    <w:rsid w:val="00D838F6"/>
    <w:rsid w:val="00D8406A"/>
    <w:rsid w:val="00D8458A"/>
    <w:rsid w:val="00D84B67"/>
    <w:rsid w:val="00D86548"/>
    <w:rsid w:val="00D87366"/>
    <w:rsid w:val="00D87647"/>
    <w:rsid w:val="00D90B65"/>
    <w:rsid w:val="00D90D9F"/>
    <w:rsid w:val="00D92252"/>
    <w:rsid w:val="00D92A7F"/>
    <w:rsid w:val="00D92E52"/>
    <w:rsid w:val="00D94C69"/>
    <w:rsid w:val="00D95C0B"/>
    <w:rsid w:val="00D96DDF"/>
    <w:rsid w:val="00D97833"/>
    <w:rsid w:val="00D97D9B"/>
    <w:rsid w:val="00DA0606"/>
    <w:rsid w:val="00DA5E4A"/>
    <w:rsid w:val="00DA63CD"/>
    <w:rsid w:val="00DA72C9"/>
    <w:rsid w:val="00DA75DE"/>
    <w:rsid w:val="00DA76E8"/>
    <w:rsid w:val="00DB0871"/>
    <w:rsid w:val="00DB1218"/>
    <w:rsid w:val="00DB14BE"/>
    <w:rsid w:val="00DB2B71"/>
    <w:rsid w:val="00DB2D9C"/>
    <w:rsid w:val="00DB2E46"/>
    <w:rsid w:val="00DB32E5"/>
    <w:rsid w:val="00DB4D86"/>
    <w:rsid w:val="00DB54C1"/>
    <w:rsid w:val="00DB68BE"/>
    <w:rsid w:val="00DB6987"/>
    <w:rsid w:val="00DB708C"/>
    <w:rsid w:val="00DB7A52"/>
    <w:rsid w:val="00DB7F7A"/>
    <w:rsid w:val="00DC04E0"/>
    <w:rsid w:val="00DC1DE7"/>
    <w:rsid w:val="00DC227D"/>
    <w:rsid w:val="00DC2E32"/>
    <w:rsid w:val="00DC4450"/>
    <w:rsid w:val="00DC531B"/>
    <w:rsid w:val="00DC6272"/>
    <w:rsid w:val="00DC6351"/>
    <w:rsid w:val="00DC79E0"/>
    <w:rsid w:val="00DD01EE"/>
    <w:rsid w:val="00DD1696"/>
    <w:rsid w:val="00DD1874"/>
    <w:rsid w:val="00DD36D3"/>
    <w:rsid w:val="00DD3BCE"/>
    <w:rsid w:val="00DD4CE8"/>
    <w:rsid w:val="00DD5C26"/>
    <w:rsid w:val="00DD6016"/>
    <w:rsid w:val="00DE039B"/>
    <w:rsid w:val="00DE136B"/>
    <w:rsid w:val="00DE162A"/>
    <w:rsid w:val="00DE209B"/>
    <w:rsid w:val="00DE3853"/>
    <w:rsid w:val="00DE4249"/>
    <w:rsid w:val="00DE6EA8"/>
    <w:rsid w:val="00DE7A38"/>
    <w:rsid w:val="00DF0818"/>
    <w:rsid w:val="00DF11BA"/>
    <w:rsid w:val="00DF1725"/>
    <w:rsid w:val="00DF3E1D"/>
    <w:rsid w:val="00DF44E1"/>
    <w:rsid w:val="00DF5B0F"/>
    <w:rsid w:val="00DF6999"/>
    <w:rsid w:val="00DF73FA"/>
    <w:rsid w:val="00E00116"/>
    <w:rsid w:val="00E010E9"/>
    <w:rsid w:val="00E015AA"/>
    <w:rsid w:val="00E04810"/>
    <w:rsid w:val="00E04AD9"/>
    <w:rsid w:val="00E052DF"/>
    <w:rsid w:val="00E05BA0"/>
    <w:rsid w:val="00E123D4"/>
    <w:rsid w:val="00E12B17"/>
    <w:rsid w:val="00E137CD"/>
    <w:rsid w:val="00E1583F"/>
    <w:rsid w:val="00E1674B"/>
    <w:rsid w:val="00E170BD"/>
    <w:rsid w:val="00E1765B"/>
    <w:rsid w:val="00E2045C"/>
    <w:rsid w:val="00E20C83"/>
    <w:rsid w:val="00E2166F"/>
    <w:rsid w:val="00E22918"/>
    <w:rsid w:val="00E22A03"/>
    <w:rsid w:val="00E23962"/>
    <w:rsid w:val="00E24C80"/>
    <w:rsid w:val="00E27AFB"/>
    <w:rsid w:val="00E312C8"/>
    <w:rsid w:val="00E32273"/>
    <w:rsid w:val="00E33E2B"/>
    <w:rsid w:val="00E36A43"/>
    <w:rsid w:val="00E4007B"/>
    <w:rsid w:val="00E41D95"/>
    <w:rsid w:val="00E42809"/>
    <w:rsid w:val="00E42AE6"/>
    <w:rsid w:val="00E441EB"/>
    <w:rsid w:val="00E446D6"/>
    <w:rsid w:val="00E44A30"/>
    <w:rsid w:val="00E45BDF"/>
    <w:rsid w:val="00E4671E"/>
    <w:rsid w:val="00E51517"/>
    <w:rsid w:val="00E51967"/>
    <w:rsid w:val="00E526A3"/>
    <w:rsid w:val="00E53186"/>
    <w:rsid w:val="00E53572"/>
    <w:rsid w:val="00E536FC"/>
    <w:rsid w:val="00E57937"/>
    <w:rsid w:val="00E60A98"/>
    <w:rsid w:val="00E60B63"/>
    <w:rsid w:val="00E62068"/>
    <w:rsid w:val="00E628C7"/>
    <w:rsid w:val="00E62AD5"/>
    <w:rsid w:val="00E63AAA"/>
    <w:rsid w:val="00E64E13"/>
    <w:rsid w:val="00E666DD"/>
    <w:rsid w:val="00E66D70"/>
    <w:rsid w:val="00E67CCA"/>
    <w:rsid w:val="00E70CA6"/>
    <w:rsid w:val="00E71C7A"/>
    <w:rsid w:val="00E720B3"/>
    <w:rsid w:val="00E727B4"/>
    <w:rsid w:val="00E735EE"/>
    <w:rsid w:val="00E736F7"/>
    <w:rsid w:val="00E73B08"/>
    <w:rsid w:val="00E74B32"/>
    <w:rsid w:val="00E75576"/>
    <w:rsid w:val="00E7632F"/>
    <w:rsid w:val="00E80056"/>
    <w:rsid w:val="00E8007A"/>
    <w:rsid w:val="00E81461"/>
    <w:rsid w:val="00E82164"/>
    <w:rsid w:val="00E82458"/>
    <w:rsid w:val="00E82C94"/>
    <w:rsid w:val="00E837BB"/>
    <w:rsid w:val="00E83BFC"/>
    <w:rsid w:val="00E8527D"/>
    <w:rsid w:val="00E856AD"/>
    <w:rsid w:val="00E86377"/>
    <w:rsid w:val="00E8638F"/>
    <w:rsid w:val="00E876A8"/>
    <w:rsid w:val="00E91235"/>
    <w:rsid w:val="00E916A3"/>
    <w:rsid w:val="00E91885"/>
    <w:rsid w:val="00E943A3"/>
    <w:rsid w:val="00E944D0"/>
    <w:rsid w:val="00E94B3A"/>
    <w:rsid w:val="00E95578"/>
    <w:rsid w:val="00E96932"/>
    <w:rsid w:val="00E96D89"/>
    <w:rsid w:val="00E97466"/>
    <w:rsid w:val="00E97D11"/>
    <w:rsid w:val="00EA0818"/>
    <w:rsid w:val="00EA0CCC"/>
    <w:rsid w:val="00EA156D"/>
    <w:rsid w:val="00EA19F9"/>
    <w:rsid w:val="00EA210E"/>
    <w:rsid w:val="00EA37DD"/>
    <w:rsid w:val="00EA3AE7"/>
    <w:rsid w:val="00EA43E0"/>
    <w:rsid w:val="00EA4EEA"/>
    <w:rsid w:val="00EA6989"/>
    <w:rsid w:val="00EA7B3C"/>
    <w:rsid w:val="00EA7BF0"/>
    <w:rsid w:val="00EB05F4"/>
    <w:rsid w:val="00EB0CB6"/>
    <w:rsid w:val="00EB0E13"/>
    <w:rsid w:val="00EB1BAF"/>
    <w:rsid w:val="00EB3055"/>
    <w:rsid w:val="00EB4A10"/>
    <w:rsid w:val="00EB504A"/>
    <w:rsid w:val="00EB51D3"/>
    <w:rsid w:val="00EB5639"/>
    <w:rsid w:val="00EB5BC4"/>
    <w:rsid w:val="00EB69D1"/>
    <w:rsid w:val="00EC1D4E"/>
    <w:rsid w:val="00EC2156"/>
    <w:rsid w:val="00EC27A0"/>
    <w:rsid w:val="00EC27C1"/>
    <w:rsid w:val="00EC3AF0"/>
    <w:rsid w:val="00EC3FCC"/>
    <w:rsid w:val="00EC6319"/>
    <w:rsid w:val="00EC655F"/>
    <w:rsid w:val="00EC6713"/>
    <w:rsid w:val="00EC6A82"/>
    <w:rsid w:val="00EC7F99"/>
    <w:rsid w:val="00ED2407"/>
    <w:rsid w:val="00ED40C1"/>
    <w:rsid w:val="00ED46B0"/>
    <w:rsid w:val="00ED4745"/>
    <w:rsid w:val="00ED4EED"/>
    <w:rsid w:val="00ED53A8"/>
    <w:rsid w:val="00ED616E"/>
    <w:rsid w:val="00ED7CD4"/>
    <w:rsid w:val="00EE2F1C"/>
    <w:rsid w:val="00EE3453"/>
    <w:rsid w:val="00EE51D7"/>
    <w:rsid w:val="00EE5C88"/>
    <w:rsid w:val="00EE6333"/>
    <w:rsid w:val="00EE751D"/>
    <w:rsid w:val="00EE7F1A"/>
    <w:rsid w:val="00EE7F77"/>
    <w:rsid w:val="00EF0E1B"/>
    <w:rsid w:val="00EF0E86"/>
    <w:rsid w:val="00EF1D50"/>
    <w:rsid w:val="00EF2C1D"/>
    <w:rsid w:val="00EF3744"/>
    <w:rsid w:val="00EF5361"/>
    <w:rsid w:val="00EF5882"/>
    <w:rsid w:val="00EF5FC7"/>
    <w:rsid w:val="00F00635"/>
    <w:rsid w:val="00F0501D"/>
    <w:rsid w:val="00F10294"/>
    <w:rsid w:val="00F13645"/>
    <w:rsid w:val="00F150A1"/>
    <w:rsid w:val="00F227DD"/>
    <w:rsid w:val="00F22C80"/>
    <w:rsid w:val="00F24155"/>
    <w:rsid w:val="00F24A84"/>
    <w:rsid w:val="00F25437"/>
    <w:rsid w:val="00F2570F"/>
    <w:rsid w:val="00F30227"/>
    <w:rsid w:val="00F305B1"/>
    <w:rsid w:val="00F31301"/>
    <w:rsid w:val="00F32D76"/>
    <w:rsid w:val="00F3317C"/>
    <w:rsid w:val="00F33AF2"/>
    <w:rsid w:val="00F36308"/>
    <w:rsid w:val="00F36F77"/>
    <w:rsid w:val="00F37829"/>
    <w:rsid w:val="00F40481"/>
    <w:rsid w:val="00F414E1"/>
    <w:rsid w:val="00F426EB"/>
    <w:rsid w:val="00F430BD"/>
    <w:rsid w:val="00F45566"/>
    <w:rsid w:val="00F4585D"/>
    <w:rsid w:val="00F473D6"/>
    <w:rsid w:val="00F47DC5"/>
    <w:rsid w:val="00F50287"/>
    <w:rsid w:val="00F51AFD"/>
    <w:rsid w:val="00F527D8"/>
    <w:rsid w:val="00F5284E"/>
    <w:rsid w:val="00F52F18"/>
    <w:rsid w:val="00F538BD"/>
    <w:rsid w:val="00F55AB8"/>
    <w:rsid w:val="00F56F50"/>
    <w:rsid w:val="00F60343"/>
    <w:rsid w:val="00F604DE"/>
    <w:rsid w:val="00F61F25"/>
    <w:rsid w:val="00F6280F"/>
    <w:rsid w:val="00F633FF"/>
    <w:rsid w:val="00F643AC"/>
    <w:rsid w:val="00F6529B"/>
    <w:rsid w:val="00F674AC"/>
    <w:rsid w:val="00F70BEE"/>
    <w:rsid w:val="00F70EEF"/>
    <w:rsid w:val="00F717DC"/>
    <w:rsid w:val="00F72D09"/>
    <w:rsid w:val="00F735C7"/>
    <w:rsid w:val="00F740A3"/>
    <w:rsid w:val="00F754D3"/>
    <w:rsid w:val="00F75546"/>
    <w:rsid w:val="00F75E01"/>
    <w:rsid w:val="00F75FFD"/>
    <w:rsid w:val="00F77FD4"/>
    <w:rsid w:val="00F8183B"/>
    <w:rsid w:val="00F83457"/>
    <w:rsid w:val="00F844E5"/>
    <w:rsid w:val="00F8632C"/>
    <w:rsid w:val="00F9005F"/>
    <w:rsid w:val="00F940F0"/>
    <w:rsid w:val="00F9444A"/>
    <w:rsid w:val="00F957E3"/>
    <w:rsid w:val="00FA1936"/>
    <w:rsid w:val="00FA23D7"/>
    <w:rsid w:val="00FA660C"/>
    <w:rsid w:val="00FB0D32"/>
    <w:rsid w:val="00FB1B2D"/>
    <w:rsid w:val="00FB1C32"/>
    <w:rsid w:val="00FB1CB2"/>
    <w:rsid w:val="00FB20DF"/>
    <w:rsid w:val="00FB2247"/>
    <w:rsid w:val="00FB4A0B"/>
    <w:rsid w:val="00FB512F"/>
    <w:rsid w:val="00FB525D"/>
    <w:rsid w:val="00FB77D9"/>
    <w:rsid w:val="00FC0C77"/>
    <w:rsid w:val="00FC26AF"/>
    <w:rsid w:val="00FC31C7"/>
    <w:rsid w:val="00FC3703"/>
    <w:rsid w:val="00FC42DE"/>
    <w:rsid w:val="00FC461B"/>
    <w:rsid w:val="00FC71F1"/>
    <w:rsid w:val="00FD23DE"/>
    <w:rsid w:val="00FD3BCC"/>
    <w:rsid w:val="00FD5EB5"/>
    <w:rsid w:val="00FD5F9E"/>
    <w:rsid w:val="00FD6235"/>
    <w:rsid w:val="00FD63D8"/>
    <w:rsid w:val="00FD6431"/>
    <w:rsid w:val="00FD6503"/>
    <w:rsid w:val="00FD7784"/>
    <w:rsid w:val="00FE0D2B"/>
    <w:rsid w:val="00FE2B08"/>
    <w:rsid w:val="00FE2D74"/>
    <w:rsid w:val="00FE545C"/>
    <w:rsid w:val="00FE5D04"/>
    <w:rsid w:val="00FE6B0D"/>
    <w:rsid w:val="00FF13BF"/>
    <w:rsid w:val="00FF19FD"/>
    <w:rsid w:val="00FF4442"/>
    <w:rsid w:val="00FF49F4"/>
    <w:rsid w:val="00FF5153"/>
    <w:rsid w:val="00FF5954"/>
    <w:rsid w:val="00FF5F5A"/>
    <w:rsid w:val="00FF6296"/>
    <w:rsid w:val="00FF6904"/>
    <w:rsid w:val="00FF79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A7E756"/>
  <w15:docId w15:val="{28C8BA65-FF5E-409F-96A9-BC6502422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before="120" w:after="120" w:line="276" w:lineRule="auto"/>
        <w:ind w:left="357" w:hanging="357"/>
      </w:pPr>
    </w:pPrDefault>
  </w:docDefaults>
  <w:latentStyles w:defLockedState="0" w:defUIPriority="0" w:defSemiHidden="0" w:defUnhideWhenUsed="0" w:defQFormat="0" w:count="376">
    <w:lsdException w:name="Normal" w:qFormat="1"/>
    <w:lsdException w:name="heading 1" w:uiPriority="9" w:qFormat="1"/>
    <w:lsdException w:name="heading 4" w:qFormat="1"/>
    <w:lsdException w:name="heading 5" w:qFormat="1"/>
    <w:lsdException w:name="heading 6"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72A7"/>
    <w:rPr>
      <w:rFonts w:asciiTheme="minorHAnsi" w:eastAsiaTheme="minorHAnsi" w:hAnsiTheme="minorHAnsi" w:cstheme="minorBidi"/>
      <w:sz w:val="22"/>
      <w:szCs w:val="22"/>
      <w:lang w:eastAsia="en-US"/>
    </w:rPr>
  </w:style>
  <w:style w:type="paragraph" w:styleId="Heading1">
    <w:name w:val="heading 1"/>
    <w:basedOn w:val="Base"/>
    <w:next w:val="Heading4"/>
    <w:uiPriority w:val="9"/>
    <w:qFormat/>
    <w:rsid w:val="000F19F3"/>
    <w:pPr>
      <w:keepNext/>
      <w:keepLines/>
      <w:numPr>
        <w:numId w:val="1"/>
      </w:numPr>
      <w:spacing w:before="240" w:after="240"/>
      <w:outlineLvl w:val="0"/>
    </w:pPr>
    <w:rPr>
      <w:rFonts w:asciiTheme="majorHAnsi" w:hAnsiTheme="majorHAnsi" w:cs="Arial"/>
      <w:b/>
      <w:bCs/>
      <w:kern w:val="32"/>
      <w:szCs w:val="32"/>
    </w:rPr>
  </w:style>
  <w:style w:type="paragraph" w:styleId="Heading2">
    <w:name w:val="heading 2"/>
    <w:basedOn w:val="Heading1"/>
    <w:next w:val="BodyText"/>
    <w:rsid w:val="000F19F3"/>
    <w:pPr>
      <w:numPr>
        <w:numId w:val="0"/>
      </w:numPr>
      <w:outlineLvl w:val="1"/>
    </w:pPr>
    <w:rPr>
      <w:bCs w:val="0"/>
      <w:iCs/>
      <w:sz w:val="24"/>
      <w:szCs w:val="28"/>
    </w:rPr>
  </w:style>
  <w:style w:type="paragraph" w:styleId="Heading3">
    <w:name w:val="heading 3"/>
    <w:basedOn w:val="Heading2"/>
    <w:next w:val="BodyText"/>
    <w:rsid w:val="000F19F3"/>
    <w:pPr>
      <w:outlineLvl w:val="2"/>
    </w:pPr>
    <w:rPr>
      <w:bCs/>
      <w:sz w:val="22"/>
      <w:szCs w:val="26"/>
    </w:rPr>
  </w:style>
  <w:style w:type="paragraph" w:styleId="Heading4">
    <w:name w:val="heading 4"/>
    <w:basedOn w:val="Normal"/>
    <w:qFormat/>
    <w:rsid w:val="000F19F3"/>
    <w:pPr>
      <w:numPr>
        <w:ilvl w:val="3"/>
        <w:numId w:val="1"/>
      </w:numPr>
      <w:spacing w:before="240" w:after="240"/>
      <w:outlineLvl w:val="3"/>
    </w:pPr>
    <w:rPr>
      <w:bCs/>
      <w:szCs w:val="28"/>
    </w:rPr>
  </w:style>
  <w:style w:type="paragraph" w:styleId="Heading5">
    <w:name w:val="heading 5"/>
    <w:basedOn w:val="Normal"/>
    <w:qFormat/>
    <w:rsid w:val="000F19F3"/>
    <w:pPr>
      <w:numPr>
        <w:ilvl w:val="4"/>
        <w:numId w:val="1"/>
      </w:numPr>
      <w:spacing w:before="360" w:after="360"/>
      <w:outlineLvl w:val="4"/>
    </w:pPr>
    <w:rPr>
      <w:bCs/>
      <w:iCs/>
      <w:szCs w:val="26"/>
    </w:rPr>
  </w:style>
  <w:style w:type="paragraph" w:styleId="Heading6">
    <w:name w:val="heading 6"/>
    <w:basedOn w:val="Normal"/>
    <w:qFormat/>
    <w:rsid w:val="000F19F3"/>
    <w:pPr>
      <w:numPr>
        <w:ilvl w:val="5"/>
        <w:numId w:val="1"/>
      </w:numPr>
      <w:spacing w:before="360" w:after="360"/>
      <w:outlineLvl w:val="5"/>
    </w:pPr>
    <w:rPr>
      <w:bCs/>
    </w:rPr>
  </w:style>
  <w:style w:type="paragraph" w:styleId="Heading7">
    <w:name w:val="heading 7"/>
    <w:basedOn w:val="Heading1"/>
    <w:qFormat/>
    <w:rsid w:val="000F19F3"/>
    <w:pPr>
      <w:keepNext w:val="0"/>
      <w:keepLines w:val="0"/>
      <w:numPr>
        <w:ilvl w:val="6"/>
      </w:numPr>
      <w:spacing w:before="360" w:after="360"/>
      <w:outlineLvl w:val="6"/>
    </w:pPr>
    <w:rPr>
      <w:b w:val="0"/>
    </w:rPr>
  </w:style>
  <w:style w:type="paragraph" w:styleId="Heading8">
    <w:name w:val="heading 8"/>
    <w:basedOn w:val="Heading1"/>
    <w:next w:val="BodyText"/>
    <w:link w:val="Heading8Char"/>
    <w:rsid w:val="000F19F3"/>
    <w:pPr>
      <w:numPr>
        <w:ilvl w:val="7"/>
      </w:numPr>
      <w:outlineLvl w:val="7"/>
    </w:pPr>
    <w:rPr>
      <w:b w:val="0"/>
      <w:iCs/>
      <w:sz w:val="48"/>
    </w:rPr>
  </w:style>
  <w:style w:type="paragraph" w:styleId="Heading9">
    <w:name w:val="heading 9"/>
    <w:basedOn w:val="Heading2"/>
    <w:next w:val="BodyText"/>
    <w:rsid w:val="000F19F3"/>
    <w:pPr>
      <w:numPr>
        <w:ilvl w:val="8"/>
        <w:numId w:val="1"/>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F19F3"/>
    <w:pPr>
      <w:spacing w:before="240" w:after="240"/>
    </w:pPr>
  </w:style>
  <w:style w:type="character" w:customStyle="1" w:styleId="Heading8Char">
    <w:name w:val="Heading 8 Char"/>
    <w:basedOn w:val="DefaultParagraphFont"/>
    <w:link w:val="Heading8"/>
    <w:rsid w:val="00D1308B"/>
    <w:rPr>
      <w:rFonts w:asciiTheme="majorHAnsi" w:eastAsiaTheme="minorHAnsi" w:hAnsiTheme="majorHAnsi" w:cs="Arial"/>
      <w:bCs/>
      <w:iCs/>
      <w:kern w:val="32"/>
      <w:sz w:val="48"/>
      <w:szCs w:val="32"/>
      <w:lang w:eastAsia="en-US"/>
    </w:rPr>
  </w:style>
  <w:style w:type="paragraph" w:styleId="Header">
    <w:name w:val="header"/>
    <w:basedOn w:val="Base"/>
    <w:rsid w:val="000F19F3"/>
    <w:pPr>
      <w:tabs>
        <w:tab w:val="right" w:pos="9367"/>
      </w:tabs>
    </w:pPr>
    <w:rPr>
      <w:sz w:val="12"/>
    </w:rPr>
  </w:style>
  <w:style w:type="paragraph" w:styleId="Footer">
    <w:name w:val="footer"/>
    <w:basedOn w:val="Normal"/>
    <w:link w:val="FooterChar"/>
    <w:rsid w:val="000F19F3"/>
    <w:pPr>
      <w:tabs>
        <w:tab w:val="right" w:pos="9367"/>
      </w:tabs>
    </w:pPr>
    <w:rPr>
      <w:sz w:val="12"/>
    </w:rPr>
  </w:style>
  <w:style w:type="character" w:styleId="PageNumber">
    <w:name w:val="page number"/>
    <w:basedOn w:val="DefaultParagraphFont"/>
    <w:rsid w:val="000F19F3"/>
    <w:rPr>
      <w:rFonts w:cs="Times New Roman"/>
      <w:lang w:val="en-GB"/>
    </w:rPr>
  </w:style>
  <w:style w:type="paragraph" w:styleId="TOCHeading">
    <w:name w:val="TOC Heading"/>
    <w:basedOn w:val="Normal"/>
    <w:next w:val="Normal"/>
    <w:rsid w:val="000F19F3"/>
    <w:pPr>
      <w:spacing w:after="1728"/>
    </w:pPr>
    <w:rPr>
      <w:sz w:val="48"/>
      <w:szCs w:val="48"/>
    </w:rPr>
  </w:style>
  <w:style w:type="paragraph" w:styleId="Quote">
    <w:name w:val="Quote"/>
    <w:basedOn w:val="Normal"/>
    <w:next w:val="Normal"/>
    <w:rsid w:val="000F19F3"/>
    <w:pPr>
      <w:keepLines/>
      <w:spacing w:after="360" w:line="360" w:lineRule="auto"/>
      <w:ind w:left="1080"/>
    </w:pPr>
    <w:rPr>
      <w:b/>
      <w:i/>
      <w:sz w:val="16"/>
      <w:szCs w:val="16"/>
    </w:rPr>
  </w:style>
  <w:style w:type="paragraph" w:customStyle="1" w:styleId="BulletList1">
    <w:name w:val="Bullet List 1"/>
    <w:basedOn w:val="Normal"/>
    <w:qFormat/>
    <w:rsid w:val="00DF1725"/>
    <w:pPr>
      <w:numPr>
        <w:numId w:val="14"/>
      </w:numPr>
      <w:spacing w:before="240" w:after="240"/>
    </w:pPr>
    <w:rPr>
      <w:szCs w:val="20"/>
    </w:rPr>
  </w:style>
  <w:style w:type="paragraph" w:customStyle="1" w:styleId="BulletList3">
    <w:name w:val="Bullet List 3"/>
    <w:basedOn w:val="BulletList2"/>
    <w:qFormat/>
    <w:rsid w:val="000F19F3"/>
    <w:pPr>
      <w:numPr>
        <w:ilvl w:val="2"/>
      </w:numPr>
    </w:pPr>
  </w:style>
  <w:style w:type="paragraph" w:customStyle="1" w:styleId="BulletList2">
    <w:name w:val="Bullet List 2"/>
    <w:basedOn w:val="BulletList1"/>
    <w:qFormat/>
    <w:rsid w:val="000F19F3"/>
    <w:pPr>
      <w:numPr>
        <w:ilvl w:val="1"/>
      </w:numPr>
    </w:pPr>
  </w:style>
  <w:style w:type="paragraph" w:customStyle="1" w:styleId="TableLeft">
    <w:name w:val="Table Left"/>
    <w:basedOn w:val="Normal"/>
    <w:rsid w:val="000F19F3"/>
    <w:rPr>
      <w:szCs w:val="20"/>
    </w:rPr>
  </w:style>
  <w:style w:type="paragraph" w:customStyle="1" w:styleId="TableCaption">
    <w:name w:val="Table Caption"/>
    <w:basedOn w:val="Normal"/>
    <w:rsid w:val="000F19F3"/>
    <w:pPr>
      <w:spacing w:before="60" w:after="60"/>
      <w:jc w:val="center"/>
    </w:pPr>
    <w:rPr>
      <w:b/>
      <w:sz w:val="18"/>
      <w:szCs w:val="20"/>
    </w:rPr>
  </w:style>
  <w:style w:type="paragraph" w:customStyle="1" w:styleId="TableSubhead">
    <w:name w:val="TableSubhead"/>
    <w:basedOn w:val="Normal"/>
    <w:rsid w:val="000F19F3"/>
    <w:pPr>
      <w:spacing w:before="60" w:after="60"/>
      <w:jc w:val="center"/>
    </w:pPr>
    <w:rPr>
      <w:sz w:val="16"/>
      <w:szCs w:val="16"/>
    </w:rPr>
  </w:style>
  <w:style w:type="paragraph" w:customStyle="1" w:styleId="SidebarText">
    <w:name w:val="Sidebar Text"/>
    <w:basedOn w:val="Normal"/>
    <w:rsid w:val="000F19F3"/>
    <w:pPr>
      <w:spacing w:after="360" w:line="240" w:lineRule="atLeast"/>
    </w:pPr>
    <w:rPr>
      <w:szCs w:val="20"/>
    </w:rPr>
  </w:style>
  <w:style w:type="paragraph" w:customStyle="1" w:styleId="SidebarHeader">
    <w:name w:val="Sidebar Header"/>
    <w:basedOn w:val="Normal"/>
    <w:next w:val="SidebarText"/>
    <w:rsid w:val="000F19F3"/>
    <w:pPr>
      <w:spacing w:after="360"/>
    </w:pPr>
    <w:rPr>
      <w:b/>
      <w:color w:val="A71930"/>
    </w:rPr>
  </w:style>
  <w:style w:type="paragraph" w:customStyle="1" w:styleId="BulletList4">
    <w:name w:val="Bullet List 4"/>
    <w:basedOn w:val="BulletList3"/>
    <w:qFormat/>
    <w:rsid w:val="000F19F3"/>
    <w:pPr>
      <w:numPr>
        <w:ilvl w:val="3"/>
      </w:numPr>
    </w:pPr>
  </w:style>
  <w:style w:type="paragraph" w:styleId="TOC1">
    <w:name w:val="toc 1"/>
    <w:basedOn w:val="Normal"/>
    <w:next w:val="Normal"/>
    <w:rsid w:val="000F19F3"/>
    <w:pPr>
      <w:tabs>
        <w:tab w:val="right" w:leader="dot" w:pos="9072"/>
      </w:tabs>
      <w:ind w:right="567"/>
    </w:pPr>
    <w:rPr>
      <w:b/>
      <w:szCs w:val="20"/>
    </w:rPr>
  </w:style>
  <w:style w:type="paragraph" w:styleId="TOC2">
    <w:name w:val="toc 2"/>
    <w:basedOn w:val="TOC1"/>
    <w:next w:val="Normal"/>
    <w:rsid w:val="000F19F3"/>
    <w:pPr>
      <w:tabs>
        <w:tab w:val="left" w:pos="907"/>
      </w:tabs>
      <w:ind w:left="907" w:hanging="567"/>
    </w:pPr>
    <w:rPr>
      <w:b w:val="0"/>
      <w:i/>
    </w:rPr>
  </w:style>
  <w:style w:type="paragraph" w:styleId="TOC3">
    <w:name w:val="toc 3"/>
    <w:basedOn w:val="TOC2"/>
    <w:next w:val="Normal"/>
    <w:rsid w:val="000F19F3"/>
    <w:pPr>
      <w:tabs>
        <w:tab w:val="clear" w:pos="907"/>
        <w:tab w:val="left" w:pos="1361"/>
      </w:tabs>
      <w:ind w:left="1360" w:hanging="680"/>
    </w:pPr>
    <w:rPr>
      <w:i w:val="0"/>
    </w:rPr>
  </w:style>
  <w:style w:type="paragraph" w:customStyle="1" w:styleId="BulletList5">
    <w:name w:val="Bullet List 5"/>
    <w:basedOn w:val="BulletList4"/>
    <w:rsid w:val="000F19F3"/>
    <w:pPr>
      <w:numPr>
        <w:ilvl w:val="4"/>
      </w:numPr>
    </w:pPr>
  </w:style>
  <w:style w:type="paragraph" w:customStyle="1" w:styleId="AppendixHeading">
    <w:name w:val="Appendix Heading"/>
    <w:basedOn w:val="Normal"/>
    <w:next w:val="Normal"/>
    <w:rsid w:val="000F19F3"/>
    <w:pPr>
      <w:spacing w:after="480"/>
    </w:pPr>
    <w:rPr>
      <w:sz w:val="48"/>
      <w:szCs w:val="48"/>
    </w:rPr>
  </w:style>
  <w:style w:type="paragraph" w:customStyle="1" w:styleId="ClientAnswer">
    <w:name w:val="Client Answer"/>
    <w:basedOn w:val="Normal"/>
    <w:rsid w:val="000F19F3"/>
    <w:pPr>
      <w:spacing w:before="360" w:after="360"/>
      <w:ind w:left="340"/>
    </w:pPr>
    <w:rPr>
      <w:szCs w:val="20"/>
    </w:rPr>
  </w:style>
  <w:style w:type="character" w:styleId="FootnoteReference">
    <w:name w:val="footnote reference"/>
    <w:basedOn w:val="DefaultParagraphFont"/>
    <w:semiHidden/>
    <w:rsid w:val="000F19F3"/>
    <w:rPr>
      <w:vertAlign w:val="superscript"/>
      <w:lang w:val="en-GB"/>
    </w:rPr>
  </w:style>
  <w:style w:type="paragraph" w:styleId="BalloonText">
    <w:name w:val="Balloon Text"/>
    <w:basedOn w:val="Normal"/>
    <w:semiHidden/>
    <w:rsid w:val="000F19F3"/>
    <w:rPr>
      <w:rFonts w:ascii="Tahoma" w:hAnsi="Tahoma" w:cs="Tahoma"/>
      <w:sz w:val="16"/>
      <w:szCs w:val="16"/>
    </w:rPr>
  </w:style>
  <w:style w:type="paragraph" w:styleId="EndnoteText">
    <w:name w:val="endnote text"/>
    <w:basedOn w:val="Normal"/>
    <w:semiHidden/>
    <w:rsid w:val="000F19F3"/>
    <w:rPr>
      <w:szCs w:val="20"/>
    </w:rPr>
  </w:style>
  <w:style w:type="paragraph" w:styleId="FootnoteText">
    <w:name w:val="footnote text"/>
    <w:basedOn w:val="Normal"/>
    <w:semiHidden/>
    <w:rsid w:val="000F19F3"/>
    <w:rPr>
      <w:sz w:val="16"/>
      <w:szCs w:val="20"/>
    </w:rPr>
  </w:style>
  <w:style w:type="paragraph" w:styleId="NoteHeading">
    <w:name w:val="Note Heading"/>
    <w:basedOn w:val="Normal"/>
    <w:next w:val="Normal"/>
    <w:rsid w:val="000F19F3"/>
  </w:style>
  <w:style w:type="paragraph" w:styleId="Salutation">
    <w:name w:val="Salutation"/>
    <w:basedOn w:val="Normal"/>
    <w:next w:val="Normal"/>
    <w:rsid w:val="000F19F3"/>
  </w:style>
  <w:style w:type="paragraph" w:styleId="Title">
    <w:name w:val="Title"/>
    <w:basedOn w:val="Normal"/>
    <w:rsid w:val="000F19F3"/>
    <w:pPr>
      <w:spacing w:before="240" w:after="60"/>
      <w:jc w:val="center"/>
      <w:outlineLvl w:val="0"/>
    </w:pPr>
    <w:rPr>
      <w:rFonts w:cs="Arial"/>
      <w:b/>
      <w:bCs/>
      <w:kern w:val="28"/>
      <w:sz w:val="32"/>
      <w:szCs w:val="32"/>
    </w:rPr>
  </w:style>
  <w:style w:type="paragraph" w:styleId="TOC4">
    <w:name w:val="toc 4"/>
    <w:basedOn w:val="Normal"/>
    <w:next w:val="Normal"/>
    <w:semiHidden/>
    <w:rsid w:val="000F19F3"/>
    <w:pPr>
      <w:ind w:left="600"/>
    </w:pPr>
  </w:style>
  <w:style w:type="paragraph" w:styleId="TOC5">
    <w:name w:val="toc 5"/>
    <w:basedOn w:val="Normal"/>
    <w:next w:val="Normal"/>
    <w:semiHidden/>
    <w:rsid w:val="000F19F3"/>
    <w:pPr>
      <w:ind w:left="800"/>
    </w:pPr>
  </w:style>
  <w:style w:type="paragraph" w:styleId="TOC6">
    <w:name w:val="toc 6"/>
    <w:basedOn w:val="Normal"/>
    <w:next w:val="Normal"/>
    <w:semiHidden/>
    <w:rsid w:val="000F19F3"/>
    <w:pPr>
      <w:ind w:left="1000"/>
    </w:pPr>
  </w:style>
  <w:style w:type="paragraph" w:styleId="TOC7">
    <w:name w:val="toc 7"/>
    <w:basedOn w:val="Normal"/>
    <w:next w:val="Normal"/>
    <w:autoRedefine/>
    <w:semiHidden/>
    <w:rsid w:val="000F19F3"/>
    <w:pPr>
      <w:ind w:left="1200"/>
    </w:pPr>
  </w:style>
  <w:style w:type="paragraph" w:styleId="TOC8">
    <w:name w:val="toc 8"/>
    <w:basedOn w:val="Normal"/>
    <w:next w:val="Normal"/>
    <w:autoRedefine/>
    <w:semiHidden/>
    <w:rsid w:val="000F19F3"/>
    <w:pPr>
      <w:ind w:left="1400"/>
    </w:pPr>
  </w:style>
  <w:style w:type="paragraph" w:styleId="TOC9">
    <w:name w:val="toc 9"/>
    <w:basedOn w:val="Normal"/>
    <w:next w:val="Normal"/>
    <w:autoRedefine/>
    <w:semiHidden/>
    <w:rsid w:val="000F19F3"/>
    <w:pPr>
      <w:ind w:left="1600"/>
    </w:pPr>
  </w:style>
  <w:style w:type="table" w:styleId="TableGrid">
    <w:name w:val="Table Grid"/>
    <w:basedOn w:val="TableNormal"/>
    <w:rsid w:val="000F1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jectName">
    <w:name w:val="Project Name"/>
    <w:basedOn w:val="Base"/>
    <w:rsid w:val="000F19F3"/>
    <w:rPr>
      <w:sz w:val="28"/>
    </w:rPr>
  </w:style>
  <w:style w:type="paragraph" w:customStyle="1" w:styleId="CompanyName">
    <w:name w:val="Company Name"/>
    <w:basedOn w:val="Base"/>
    <w:rsid w:val="000F19F3"/>
    <w:rPr>
      <w:b/>
      <w:sz w:val="48"/>
    </w:rPr>
  </w:style>
  <w:style w:type="paragraph" w:customStyle="1" w:styleId="ReportDate">
    <w:name w:val="Report Date"/>
    <w:basedOn w:val="Base"/>
    <w:rsid w:val="000F19F3"/>
    <w:rPr>
      <w:sz w:val="28"/>
    </w:rPr>
  </w:style>
  <w:style w:type="paragraph" w:customStyle="1" w:styleId="BulletList6">
    <w:name w:val="Bullet List 6"/>
    <w:basedOn w:val="BulletList5"/>
    <w:rsid w:val="000F19F3"/>
    <w:pPr>
      <w:numPr>
        <w:ilvl w:val="5"/>
      </w:numPr>
    </w:pPr>
  </w:style>
  <w:style w:type="paragraph" w:customStyle="1" w:styleId="BulletList7">
    <w:name w:val="Bullet List 7"/>
    <w:basedOn w:val="BulletList6"/>
    <w:rsid w:val="000F19F3"/>
    <w:pPr>
      <w:numPr>
        <w:ilvl w:val="6"/>
      </w:numPr>
    </w:pPr>
  </w:style>
  <w:style w:type="paragraph" w:customStyle="1" w:styleId="BulletList8">
    <w:name w:val="Bullet List 8"/>
    <w:basedOn w:val="BulletList7"/>
    <w:rsid w:val="000F19F3"/>
    <w:pPr>
      <w:numPr>
        <w:ilvl w:val="7"/>
      </w:numPr>
    </w:pPr>
  </w:style>
  <w:style w:type="paragraph" w:customStyle="1" w:styleId="BulletList9">
    <w:name w:val="Bullet List 9"/>
    <w:basedOn w:val="BulletList8"/>
    <w:rsid w:val="000F19F3"/>
    <w:pPr>
      <w:numPr>
        <w:ilvl w:val="8"/>
      </w:numPr>
    </w:pPr>
  </w:style>
  <w:style w:type="paragraph" w:customStyle="1" w:styleId="NumberedList1">
    <w:name w:val="Numbered List 1"/>
    <w:basedOn w:val="BodyText"/>
    <w:qFormat/>
    <w:rsid w:val="00A37EBF"/>
    <w:pPr>
      <w:numPr>
        <w:ilvl w:val="1"/>
        <w:numId w:val="13"/>
      </w:numPr>
    </w:pPr>
  </w:style>
  <w:style w:type="paragraph" w:customStyle="1" w:styleId="NumberedList2">
    <w:name w:val="Numbered List 2"/>
    <w:basedOn w:val="NumberedList1"/>
    <w:qFormat/>
    <w:rsid w:val="000F19F3"/>
    <w:pPr>
      <w:numPr>
        <w:ilvl w:val="2"/>
      </w:numPr>
    </w:pPr>
  </w:style>
  <w:style w:type="paragraph" w:customStyle="1" w:styleId="NumberedList3">
    <w:name w:val="Numbered List 3"/>
    <w:basedOn w:val="NumberedList2"/>
    <w:qFormat/>
    <w:rsid w:val="000F19F3"/>
    <w:pPr>
      <w:numPr>
        <w:ilvl w:val="3"/>
      </w:numPr>
    </w:pPr>
  </w:style>
  <w:style w:type="paragraph" w:customStyle="1" w:styleId="NumberedList4">
    <w:name w:val="Numbered List 4"/>
    <w:basedOn w:val="NumberedList3"/>
    <w:qFormat/>
    <w:rsid w:val="000F19F3"/>
    <w:pPr>
      <w:numPr>
        <w:ilvl w:val="4"/>
      </w:numPr>
    </w:pPr>
  </w:style>
  <w:style w:type="paragraph" w:customStyle="1" w:styleId="NumberedList5">
    <w:name w:val="Numbered List 5"/>
    <w:basedOn w:val="NumberedList4"/>
    <w:rsid w:val="000F19F3"/>
    <w:pPr>
      <w:numPr>
        <w:ilvl w:val="5"/>
      </w:numPr>
    </w:pPr>
  </w:style>
  <w:style w:type="paragraph" w:customStyle="1" w:styleId="NumberedList6">
    <w:name w:val="Numbered List 6"/>
    <w:basedOn w:val="NumberedList5"/>
    <w:rsid w:val="000F19F3"/>
    <w:pPr>
      <w:numPr>
        <w:ilvl w:val="6"/>
      </w:numPr>
    </w:pPr>
  </w:style>
  <w:style w:type="paragraph" w:customStyle="1" w:styleId="NumberedList7">
    <w:name w:val="Numbered List 7"/>
    <w:basedOn w:val="NumberedList6"/>
    <w:rsid w:val="000F19F3"/>
    <w:pPr>
      <w:numPr>
        <w:ilvl w:val="7"/>
      </w:numPr>
    </w:pPr>
  </w:style>
  <w:style w:type="paragraph" w:customStyle="1" w:styleId="NumberedList8">
    <w:name w:val="Numbered List 8"/>
    <w:basedOn w:val="NumberedList7"/>
    <w:rsid w:val="000F19F3"/>
    <w:pPr>
      <w:numPr>
        <w:ilvl w:val="8"/>
      </w:numPr>
    </w:pPr>
  </w:style>
  <w:style w:type="paragraph" w:customStyle="1" w:styleId="Subheading2">
    <w:name w:val="Subheading 2"/>
    <w:basedOn w:val="BodyText"/>
    <w:next w:val="BodyText"/>
    <w:link w:val="Subheading2Char"/>
    <w:qFormat/>
    <w:rsid w:val="000F19F3"/>
    <w:pPr>
      <w:keepNext/>
      <w:keepLines/>
    </w:pPr>
    <w:rPr>
      <w:i/>
    </w:rPr>
  </w:style>
  <w:style w:type="paragraph" w:customStyle="1" w:styleId="TableCenter">
    <w:name w:val="Table Center"/>
    <w:basedOn w:val="TableLeft"/>
    <w:rsid w:val="000F19F3"/>
    <w:pPr>
      <w:numPr>
        <w:ilvl w:val="6"/>
        <w:numId w:val="12"/>
      </w:numPr>
      <w:jc w:val="center"/>
    </w:pPr>
  </w:style>
  <w:style w:type="paragraph" w:customStyle="1" w:styleId="TableRight">
    <w:name w:val="Table Right"/>
    <w:basedOn w:val="TableLeft"/>
    <w:rsid w:val="000F19F3"/>
    <w:pPr>
      <w:numPr>
        <w:ilvl w:val="7"/>
        <w:numId w:val="12"/>
      </w:numPr>
      <w:jc w:val="right"/>
    </w:pPr>
  </w:style>
  <w:style w:type="paragraph" w:styleId="Bibliography">
    <w:name w:val="Bibliography"/>
    <w:basedOn w:val="Normal"/>
    <w:next w:val="Normal"/>
    <w:uiPriority w:val="37"/>
    <w:semiHidden/>
    <w:unhideWhenUsed/>
    <w:rsid w:val="000F19F3"/>
  </w:style>
  <w:style w:type="paragraph" w:customStyle="1" w:styleId="Tab10">
    <w:name w:val="Tab 10"/>
    <w:basedOn w:val="TableLeft"/>
    <w:qFormat/>
    <w:rsid w:val="000F19F3"/>
    <w:pPr>
      <w:tabs>
        <w:tab w:val="decimal" w:pos="567"/>
      </w:tabs>
    </w:pPr>
  </w:style>
  <w:style w:type="paragraph" w:styleId="MacroText">
    <w:name w:val="macro"/>
    <w:semiHidden/>
    <w:rsid w:val="000F19F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Tab15">
    <w:name w:val="Tab 15"/>
    <w:basedOn w:val="TableLeft"/>
    <w:qFormat/>
    <w:rsid w:val="000F19F3"/>
    <w:pPr>
      <w:tabs>
        <w:tab w:val="decimal" w:pos="850"/>
      </w:tabs>
    </w:pPr>
  </w:style>
  <w:style w:type="paragraph" w:customStyle="1" w:styleId="Tab20">
    <w:name w:val="Tab 20"/>
    <w:basedOn w:val="TableLeft"/>
    <w:qFormat/>
    <w:rsid w:val="000F19F3"/>
    <w:pPr>
      <w:tabs>
        <w:tab w:val="decimal" w:pos="1134"/>
      </w:tabs>
    </w:pPr>
  </w:style>
  <w:style w:type="paragraph" w:customStyle="1" w:styleId="Tab25">
    <w:name w:val="Tab 25"/>
    <w:basedOn w:val="TableLeft"/>
    <w:qFormat/>
    <w:rsid w:val="000F19F3"/>
    <w:pPr>
      <w:tabs>
        <w:tab w:val="decimal" w:pos="1417"/>
      </w:tabs>
    </w:pPr>
  </w:style>
  <w:style w:type="paragraph" w:styleId="BodyTextIndent2">
    <w:name w:val="Body Text Indent 2"/>
    <w:basedOn w:val="BodyText"/>
    <w:qFormat/>
    <w:rsid w:val="000F19F3"/>
    <w:pPr>
      <w:ind w:left="907"/>
    </w:pPr>
  </w:style>
  <w:style w:type="paragraph" w:customStyle="1" w:styleId="ClientQuestion">
    <w:name w:val="Client Question"/>
    <w:basedOn w:val="NumberedList1"/>
    <w:next w:val="ClientAnswer"/>
    <w:rsid w:val="000F19F3"/>
    <w:pPr>
      <w:keepNext/>
      <w:keepLines/>
      <w:numPr>
        <w:ilvl w:val="0"/>
        <w:numId w:val="0"/>
      </w:numPr>
      <w:spacing w:before="360" w:after="360"/>
    </w:pPr>
    <w:rPr>
      <w:b/>
    </w:rPr>
  </w:style>
  <w:style w:type="paragraph" w:styleId="BodyTextIndent3">
    <w:name w:val="Body Text Indent 3"/>
    <w:basedOn w:val="BodyText"/>
    <w:qFormat/>
    <w:rsid w:val="000F19F3"/>
    <w:pPr>
      <w:ind w:left="1361"/>
    </w:pPr>
    <w:rPr>
      <w:szCs w:val="20"/>
    </w:rPr>
  </w:style>
  <w:style w:type="paragraph" w:customStyle="1" w:styleId="BodyTextIndent1">
    <w:name w:val="Body Text Indent 1"/>
    <w:basedOn w:val="BodyText"/>
    <w:qFormat/>
    <w:rsid w:val="000F19F3"/>
    <w:pPr>
      <w:ind w:left="454"/>
    </w:pPr>
  </w:style>
  <w:style w:type="paragraph" w:customStyle="1" w:styleId="FooterA4Portrait">
    <w:name w:val="Footer A4 Portrait"/>
    <w:basedOn w:val="Footer"/>
    <w:rsid w:val="000F19F3"/>
  </w:style>
  <w:style w:type="paragraph" w:customStyle="1" w:styleId="SigBlock">
    <w:name w:val="Sig Block"/>
    <w:basedOn w:val="Base"/>
    <w:rsid w:val="000F19F3"/>
    <w:pPr>
      <w:keepLines/>
    </w:pPr>
    <w:rPr>
      <w:szCs w:val="20"/>
    </w:rPr>
  </w:style>
  <w:style w:type="paragraph" w:customStyle="1" w:styleId="FooterUSPortrait">
    <w:name w:val="Footer US Portrait"/>
    <w:basedOn w:val="Footer"/>
    <w:rsid w:val="000F19F3"/>
  </w:style>
  <w:style w:type="paragraph" w:customStyle="1" w:styleId="FooterUSLandscape">
    <w:name w:val="Footer US Landscape"/>
    <w:basedOn w:val="FooterUSPortrait"/>
    <w:rsid w:val="000F19F3"/>
    <w:pPr>
      <w:tabs>
        <w:tab w:val="clear" w:pos="9367"/>
        <w:tab w:val="right" w:pos="13325"/>
      </w:tabs>
    </w:pPr>
  </w:style>
  <w:style w:type="paragraph" w:customStyle="1" w:styleId="HeaderA4Portrait">
    <w:name w:val="Header A4 Portrait"/>
    <w:basedOn w:val="Header"/>
    <w:rsid w:val="000F19F3"/>
    <w:rPr>
      <w:noProof/>
      <w:lang w:eastAsia="en-GB"/>
    </w:rPr>
  </w:style>
  <w:style w:type="paragraph" w:customStyle="1" w:styleId="HeaderA4Landscape">
    <w:name w:val="Header A4 Landscape"/>
    <w:basedOn w:val="Header"/>
    <w:rsid w:val="000F19F3"/>
    <w:pPr>
      <w:tabs>
        <w:tab w:val="clear" w:pos="9367"/>
        <w:tab w:val="right" w:pos="14288"/>
      </w:tabs>
    </w:pPr>
  </w:style>
  <w:style w:type="paragraph" w:customStyle="1" w:styleId="HeaderUSPortrait">
    <w:name w:val="Header US Portrait"/>
    <w:basedOn w:val="Header"/>
    <w:rsid w:val="000F19F3"/>
  </w:style>
  <w:style w:type="paragraph" w:customStyle="1" w:styleId="HeaderUSLandscape">
    <w:name w:val="Header US Landscape"/>
    <w:basedOn w:val="Header"/>
    <w:rsid w:val="000F19F3"/>
    <w:pPr>
      <w:tabs>
        <w:tab w:val="clear" w:pos="9367"/>
        <w:tab w:val="right" w:pos="13325"/>
      </w:tabs>
    </w:pPr>
  </w:style>
  <w:style w:type="paragraph" w:customStyle="1" w:styleId="FooterA4Landscape">
    <w:name w:val="Footer A4 Landscape"/>
    <w:basedOn w:val="FooterA4Portrait"/>
    <w:rsid w:val="000F19F3"/>
    <w:pPr>
      <w:tabs>
        <w:tab w:val="clear" w:pos="9367"/>
        <w:tab w:val="right" w:pos="14288"/>
      </w:tabs>
    </w:pPr>
  </w:style>
  <w:style w:type="paragraph" w:customStyle="1" w:styleId="Figure">
    <w:name w:val="Figure"/>
    <w:basedOn w:val="BodyText"/>
    <w:rsid w:val="000F19F3"/>
    <w:pPr>
      <w:spacing w:before="360" w:after="360"/>
    </w:pPr>
  </w:style>
  <w:style w:type="paragraph" w:customStyle="1" w:styleId="TableHeading">
    <w:name w:val="Table Heading"/>
    <w:basedOn w:val="TableLeft"/>
    <w:rsid w:val="000F19F3"/>
    <w:rPr>
      <w:color w:val="FFFFFF"/>
    </w:rPr>
  </w:style>
  <w:style w:type="paragraph" w:customStyle="1" w:styleId="Subheading1">
    <w:name w:val="Subheading 1"/>
    <w:basedOn w:val="Heading4"/>
    <w:next w:val="BodyText"/>
    <w:qFormat/>
    <w:rsid w:val="000F19F3"/>
    <w:pPr>
      <w:keepNext/>
      <w:keepLines/>
      <w:numPr>
        <w:ilvl w:val="0"/>
        <w:numId w:val="0"/>
      </w:numPr>
    </w:pPr>
    <w:rPr>
      <w:b/>
    </w:rPr>
  </w:style>
  <w:style w:type="paragraph" w:customStyle="1" w:styleId="Numberedparagraph1">
    <w:name w:val="Numbered paragraph 1"/>
    <w:basedOn w:val="Heading4"/>
    <w:rsid w:val="000F19F3"/>
    <w:pPr>
      <w:numPr>
        <w:ilvl w:val="0"/>
        <w:numId w:val="0"/>
      </w:numPr>
    </w:pPr>
  </w:style>
  <w:style w:type="paragraph" w:customStyle="1" w:styleId="Numberedparagraph1A">
    <w:name w:val="Numbered paragraph 1A"/>
    <w:basedOn w:val="Heading5"/>
    <w:rsid w:val="000F19F3"/>
    <w:pPr>
      <w:numPr>
        <w:ilvl w:val="0"/>
        <w:numId w:val="0"/>
      </w:numPr>
    </w:pPr>
  </w:style>
  <w:style w:type="paragraph" w:customStyle="1" w:styleId="Numberedparagraph2">
    <w:name w:val="Numbered paragraph 2"/>
    <w:basedOn w:val="Heading6"/>
    <w:rsid w:val="000F19F3"/>
    <w:pPr>
      <w:numPr>
        <w:ilvl w:val="0"/>
        <w:numId w:val="0"/>
      </w:numPr>
    </w:pPr>
  </w:style>
  <w:style w:type="paragraph" w:customStyle="1" w:styleId="Numberedparagraph2A">
    <w:name w:val="Numbered paragraph 2A"/>
    <w:basedOn w:val="Heading7"/>
    <w:rsid w:val="000F19F3"/>
    <w:pPr>
      <w:numPr>
        <w:ilvl w:val="0"/>
        <w:numId w:val="0"/>
      </w:numPr>
    </w:pPr>
  </w:style>
  <w:style w:type="paragraph" w:customStyle="1" w:styleId="BaseHighlight">
    <w:name w:val="Base Highlight"/>
    <w:basedOn w:val="Normal"/>
    <w:rsid w:val="000F19F3"/>
    <w:rPr>
      <w:b/>
    </w:rPr>
  </w:style>
  <w:style w:type="paragraph" w:customStyle="1" w:styleId="Base">
    <w:name w:val="Base"/>
    <w:basedOn w:val="Normal"/>
    <w:link w:val="BaseCharChar"/>
    <w:rsid w:val="000F19F3"/>
  </w:style>
  <w:style w:type="character" w:customStyle="1" w:styleId="BaseCharChar">
    <w:name w:val="Base Char Char"/>
    <w:basedOn w:val="DefaultParagraphFont"/>
    <w:link w:val="Base"/>
    <w:rsid w:val="00D1308B"/>
    <w:rPr>
      <w:rFonts w:asciiTheme="minorHAnsi" w:hAnsiTheme="minorHAnsi"/>
      <w:szCs w:val="24"/>
      <w:lang w:val="en-GB" w:eastAsia="en-US"/>
    </w:rPr>
  </w:style>
  <w:style w:type="character" w:customStyle="1" w:styleId="BodyTextChar">
    <w:name w:val="Body Text Char"/>
    <w:basedOn w:val="DefaultParagraphFont"/>
    <w:link w:val="BodyText"/>
    <w:rsid w:val="002F4E9D"/>
    <w:rPr>
      <w:rFonts w:asciiTheme="minorHAnsi" w:hAnsiTheme="minorHAnsi"/>
      <w:szCs w:val="24"/>
      <w:lang w:val="en-GB" w:eastAsia="en-US"/>
    </w:rPr>
  </w:style>
  <w:style w:type="character" w:customStyle="1" w:styleId="Subheading2Char">
    <w:name w:val="Subheading 2 Char"/>
    <w:basedOn w:val="BodyTextChar"/>
    <w:link w:val="Subheading2"/>
    <w:rsid w:val="002F4E9D"/>
    <w:rPr>
      <w:rFonts w:asciiTheme="minorHAnsi" w:hAnsiTheme="minorHAnsi"/>
      <w:i/>
      <w:szCs w:val="24"/>
      <w:lang w:val="en-GB" w:eastAsia="en-US"/>
    </w:rPr>
  </w:style>
  <w:style w:type="paragraph" w:styleId="BlockText">
    <w:name w:val="Block Text"/>
    <w:basedOn w:val="Normal"/>
    <w:rsid w:val="000F19F3"/>
    <w:pPr>
      <w:ind w:left="1440" w:right="1440"/>
    </w:pPr>
  </w:style>
  <w:style w:type="paragraph" w:styleId="BodyText2">
    <w:name w:val="Body Text 2"/>
    <w:basedOn w:val="Normal"/>
    <w:link w:val="BodyText2Char"/>
    <w:rsid w:val="000F19F3"/>
    <w:pPr>
      <w:spacing w:line="480" w:lineRule="auto"/>
    </w:pPr>
  </w:style>
  <w:style w:type="character" w:customStyle="1" w:styleId="BodyText2Char">
    <w:name w:val="Body Text 2 Char"/>
    <w:basedOn w:val="DefaultParagraphFont"/>
    <w:link w:val="BodyText2"/>
    <w:rsid w:val="006C373A"/>
    <w:rPr>
      <w:rFonts w:asciiTheme="minorHAnsi" w:hAnsiTheme="minorHAnsi"/>
      <w:szCs w:val="24"/>
      <w:lang w:val="en-GB" w:eastAsia="en-US"/>
    </w:rPr>
  </w:style>
  <w:style w:type="paragraph" w:styleId="BodyText3">
    <w:name w:val="Body Text 3"/>
    <w:basedOn w:val="Normal"/>
    <w:link w:val="BodyText3Char"/>
    <w:rsid w:val="000F19F3"/>
    <w:rPr>
      <w:sz w:val="16"/>
      <w:szCs w:val="16"/>
    </w:rPr>
  </w:style>
  <w:style w:type="character" w:customStyle="1" w:styleId="BodyText3Char">
    <w:name w:val="Body Text 3 Char"/>
    <w:basedOn w:val="DefaultParagraphFont"/>
    <w:link w:val="BodyText3"/>
    <w:rsid w:val="006C373A"/>
    <w:rPr>
      <w:rFonts w:asciiTheme="minorHAnsi" w:hAnsiTheme="minorHAnsi"/>
      <w:sz w:val="16"/>
      <w:szCs w:val="16"/>
      <w:lang w:val="en-GB" w:eastAsia="en-US"/>
    </w:rPr>
  </w:style>
  <w:style w:type="paragraph" w:styleId="BodyTextFirstIndent">
    <w:name w:val="Body Text First Indent"/>
    <w:basedOn w:val="BodyText"/>
    <w:link w:val="BodyTextFirstIndentChar"/>
    <w:rsid w:val="000F19F3"/>
    <w:pPr>
      <w:spacing w:before="0" w:after="120"/>
      <w:ind w:firstLine="210"/>
    </w:pPr>
  </w:style>
  <w:style w:type="character" w:customStyle="1" w:styleId="BodyTextFirstIndentChar">
    <w:name w:val="Body Text First Indent Char"/>
    <w:basedOn w:val="BodyTextChar"/>
    <w:link w:val="BodyTextFirstIndent"/>
    <w:rsid w:val="006C373A"/>
    <w:rPr>
      <w:rFonts w:asciiTheme="minorHAnsi" w:hAnsiTheme="minorHAnsi"/>
      <w:szCs w:val="24"/>
      <w:lang w:val="en-GB" w:eastAsia="en-US"/>
    </w:rPr>
  </w:style>
  <w:style w:type="paragraph" w:styleId="BodyTextIndent">
    <w:name w:val="Body Text Indent"/>
    <w:basedOn w:val="Normal"/>
    <w:link w:val="BodyTextIndentChar"/>
    <w:rsid w:val="000F19F3"/>
    <w:pPr>
      <w:ind w:left="283"/>
    </w:pPr>
  </w:style>
  <w:style w:type="character" w:customStyle="1" w:styleId="BodyTextIndentChar">
    <w:name w:val="Body Text Indent Char"/>
    <w:basedOn w:val="DefaultParagraphFont"/>
    <w:link w:val="BodyTextIndent"/>
    <w:rsid w:val="006C373A"/>
    <w:rPr>
      <w:rFonts w:asciiTheme="minorHAnsi" w:hAnsiTheme="minorHAnsi"/>
      <w:szCs w:val="24"/>
      <w:lang w:val="en-GB" w:eastAsia="en-US"/>
    </w:rPr>
  </w:style>
  <w:style w:type="paragraph" w:styleId="BodyTextFirstIndent2">
    <w:name w:val="Body Text First Indent 2"/>
    <w:basedOn w:val="BodyTextIndent"/>
    <w:link w:val="BodyTextFirstIndent2Char"/>
    <w:rsid w:val="000F19F3"/>
    <w:pPr>
      <w:ind w:firstLine="210"/>
    </w:pPr>
  </w:style>
  <w:style w:type="character" w:customStyle="1" w:styleId="BodyTextFirstIndent2Char">
    <w:name w:val="Body Text First Indent 2 Char"/>
    <w:basedOn w:val="BodyTextIndentChar"/>
    <w:link w:val="BodyTextFirstIndent2"/>
    <w:rsid w:val="006C373A"/>
    <w:rPr>
      <w:rFonts w:asciiTheme="minorHAnsi" w:hAnsiTheme="minorHAnsi"/>
      <w:szCs w:val="24"/>
      <w:lang w:val="en-GB" w:eastAsia="en-US"/>
    </w:rPr>
  </w:style>
  <w:style w:type="character" w:styleId="BookTitle">
    <w:name w:val="Book Title"/>
    <w:basedOn w:val="DefaultParagraphFont"/>
    <w:uiPriority w:val="33"/>
    <w:rsid w:val="000F19F3"/>
    <w:rPr>
      <w:b/>
      <w:bCs/>
      <w:smallCaps/>
      <w:spacing w:val="5"/>
      <w:lang w:val="en-GB"/>
    </w:rPr>
  </w:style>
  <w:style w:type="paragraph" w:styleId="Caption">
    <w:name w:val="caption"/>
    <w:basedOn w:val="Normal"/>
    <w:next w:val="Normal"/>
    <w:semiHidden/>
    <w:unhideWhenUsed/>
    <w:rsid w:val="000F19F3"/>
    <w:rPr>
      <w:b/>
      <w:bCs/>
      <w:szCs w:val="20"/>
    </w:rPr>
  </w:style>
  <w:style w:type="paragraph" w:styleId="Closing">
    <w:name w:val="Closing"/>
    <w:basedOn w:val="Normal"/>
    <w:link w:val="ClosingChar"/>
    <w:rsid w:val="000F19F3"/>
    <w:pPr>
      <w:ind w:left="4252"/>
    </w:pPr>
  </w:style>
  <w:style w:type="character" w:customStyle="1" w:styleId="ClosingChar">
    <w:name w:val="Closing Char"/>
    <w:basedOn w:val="DefaultParagraphFont"/>
    <w:link w:val="Closing"/>
    <w:rsid w:val="006C373A"/>
    <w:rPr>
      <w:rFonts w:asciiTheme="minorHAnsi" w:hAnsiTheme="minorHAnsi"/>
      <w:szCs w:val="24"/>
      <w:lang w:val="en-GB" w:eastAsia="en-US"/>
    </w:rPr>
  </w:style>
  <w:style w:type="character" w:styleId="CommentReference">
    <w:name w:val="annotation reference"/>
    <w:basedOn w:val="DefaultParagraphFont"/>
    <w:rsid w:val="000F19F3"/>
    <w:rPr>
      <w:sz w:val="16"/>
      <w:szCs w:val="16"/>
      <w:lang w:val="en-GB"/>
    </w:rPr>
  </w:style>
  <w:style w:type="paragraph" w:styleId="CommentText">
    <w:name w:val="annotation text"/>
    <w:basedOn w:val="Normal"/>
    <w:link w:val="CommentTextChar"/>
    <w:rsid w:val="000F19F3"/>
    <w:rPr>
      <w:szCs w:val="20"/>
    </w:rPr>
  </w:style>
  <w:style w:type="character" w:customStyle="1" w:styleId="CommentTextChar">
    <w:name w:val="Comment Text Char"/>
    <w:basedOn w:val="DefaultParagraphFont"/>
    <w:link w:val="CommentText"/>
    <w:rsid w:val="006C373A"/>
    <w:rPr>
      <w:rFonts w:asciiTheme="minorHAnsi" w:hAnsiTheme="minorHAnsi"/>
      <w:lang w:val="en-GB" w:eastAsia="en-US"/>
    </w:rPr>
  </w:style>
  <w:style w:type="paragraph" w:styleId="CommentSubject">
    <w:name w:val="annotation subject"/>
    <w:basedOn w:val="CommentText"/>
    <w:next w:val="CommentText"/>
    <w:link w:val="CommentSubjectChar"/>
    <w:rsid w:val="000F19F3"/>
    <w:rPr>
      <w:b/>
      <w:bCs/>
    </w:rPr>
  </w:style>
  <w:style w:type="character" w:customStyle="1" w:styleId="CommentSubjectChar">
    <w:name w:val="Comment Subject Char"/>
    <w:basedOn w:val="CommentTextChar"/>
    <w:link w:val="CommentSubject"/>
    <w:rsid w:val="006C373A"/>
    <w:rPr>
      <w:rFonts w:asciiTheme="minorHAnsi" w:hAnsiTheme="minorHAnsi"/>
      <w:b/>
      <w:bCs/>
      <w:lang w:val="en-GB" w:eastAsia="en-US"/>
    </w:rPr>
  </w:style>
  <w:style w:type="paragraph" w:styleId="Date">
    <w:name w:val="Date"/>
    <w:basedOn w:val="Normal"/>
    <w:next w:val="Normal"/>
    <w:link w:val="DateChar"/>
    <w:rsid w:val="000F19F3"/>
  </w:style>
  <w:style w:type="character" w:customStyle="1" w:styleId="DateChar">
    <w:name w:val="Date Char"/>
    <w:basedOn w:val="DefaultParagraphFont"/>
    <w:link w:val="Date"/>
    <w:rsid w:val="006C373A"/>
    <w:rPr>
      <w:rFonts w:asciiTheme="minorHAnsi" w:hAnsiTheme="minorHAnsi"/>
      <w:szCs w:val="24"/>
      <w:lang w:val="en-GB" w:eastAsia="en-US"/>
    </w:rPr>
  </w:style>
  <w:style w:type="paragraph" w:styleId="DocumentMap">
    <w:name w:val="Document Map"/>
    <w:basedOn w:val="Normal"/>
    <w:link w:val="DocumentMapChar"/>
    <w:rsid w:val="000F19F3"/>
    <w:rPr>
      <w:rFonts w:ascii="Tahoma" w:hAnsi="Tahoma" w:cs="Tahoma"/>
      <w:sz w:val="16"/>
      <w:szCs w:val="16"/>
    </w:rPr>
  </w:style>
  <w:style w:type="character" w:customStyle="1" w:styleId="DocumentMapChar">
    <w:name w:val="Document Map Char"/>
    <w:basedOn w:val="DefaultParagraphFont"/>
    <w:link w:val="DocumentMap"/>
    <w:rsid w:val="006C373A"/>
    <w:rPr>
      <w:rFonts w:ascii="Tahoma" w:hAnsi="Tahoma" w:cs="Tahoma"/>
      <w:sz w:val="16"/>
      <w:szCs w:val="16"/>
      <w:lang w:val="en-GB" w:eastAsia="en-US"/>
    </w:rPr>
  </w:style>
  <w:style w:type="paragraph" w:styleId="E-mailSignature">
    <w:name w:val="E-mail Signature"/>
    <w:basedOn w:val="Normal"/>
    <w:link w:val="E-mailSignatureChar"/>
    <w:rsid w:val="000F19F3"/>
  </w:style>
  <w:style w:type="character" w:customStyle="1" w:styleId="E-mailSignatureChar">
    <w:name w:val="E-mail Signature Char"/>
    <w:basedOn w:val="DefaultParagraphFont"/>
    <w:link w:val="E-mailSignature"/>
    <w:rsid w:val="006C373A"/>
    <w:rPr>
      <w:rFonts w:asciiTheme="minorHAnsi" w:hAnsiTheme="minorHAnsi"/>
      <w:szCs w:val="24"/>
      <w:lang w:val="en-GB" w:eastAsia="en-US"/>
    </w:rPr>
  </w:style>
  <w:style w:type="character" w:styleId="Emphasis">
    <w:name w:val="Emphasis"/>
    <w:basedOn w:val="DefaultParagraphFont"/>
    <w:rsid w:val="000F19F3"/>
    <w:rPr>
      <w:i/>
      <w:iCs/>
      <w:lang w:val="en-GB"/>
    </w:rPr>
  </w:style>
  <w:style w:type="character" w:styleId="EndnoteReference">
    <w:name w:val="endnote reference"/>
    <w:basedOn w:val="DefaultParagraphFont"/>
    <w:rsid w:val="000F19F3"/>
    <w:rPr>
      <w:vertAlign w:val="superscript"/>
      <w:lang w:val="en-GB"/>
    </w:rPr>
  </w:style>
  <w:style w:type="paragraph" w:styleId="EnvelopeAddress">
    <w:name w:val="envelope address"/>
    <w:basedOn w:val="Normal"/>
    <w:rsid w:val="000F19F3"/>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0F19F3"/>
    <w:rPr>
      <w:rFonts w:asciiTheme="majorHAnsi" w:eastAsiaTheme="majorEastAsia" w:hAnsiTheme="majorHAnsi" w:cstheme="majorBidi"/>
      <w:szCs w:val="20"/>
    </w:rPr>
  </w:style>
  <w:style w:type="character" w:styleId="FollowedHyperlink">
    <w:name w:val="FollowedHyperlink"/>
    <w:basedOn w:val="DefaultParagraphFont"/>
    <w:rsid w:val="000F19F3"/>
    <w:rPr>
      <w:color w:val="EA745C" w:themeColor="followedHyperlink"/>
      <w:u w:val="single"/>
      <w:lang w:val="en-GB"/>
    </w:rPr>
  </w:style>
  <w:style w:type="character" w:styleId="HTMLAcronym">
    <w:name w:val="HTML Acronym"/>
    <w:basedOn w:val="DefaultParagraphFont"/>
    <w:rsid w:val="000F19F3"/>
    <w:rPr>
      <w:lang w:val="en-GB"/>
    </w:rPr>
  </w:style>
  <w:style w:type="paragraph" w:styleId="HTMLAddress">
    <w:name w:val="HTML Address"/>
    <w:basedOn w:val="Normal"/>
    <w:link w:val="HTMLAddressChar"/>
    <w:rsid w:val="000F19F3"/>
    <w:rPr>
      <w:i/>
      <w:iCs/>
    </w:rPr>
  </w:style>
  <w:style w:type="character" w:customStyle="1" w:styleId="HTMLAddressChar">
    <w:name w:val="HTML Address Char"/>
    <w:basedOn w:val="DefaultParagraphFont"/>
    <w:link w:val="HTMLAddress"/>
    <w:rsid w:val="006C373A"/>
    <w:rPr>
      <w:rFonts w:asciiTheme="minorHAnsi" w:hAnsiTheme="minorHAnsi"/>
      <w:i/>
      <w:iCs/>
      <w:szCs w:val="24"/>
      <w:lang w:val="en-GB" w:eastAsia="en-US"/>
    </w:rPr>
  </w:style>
  <w:style w:type="character" w:styleId="HTMLCite">
    <w:name w:val="HTML Cite"/>
    <w:basedOn w:val="DefaultParagraphFont"/>
    <w:rsid w:val="000F19F3"/>
    <w:rPr>
      <w:i/>
      <w:iCs/>
      <w:lang w:val="en-GB"/>
    </w:rPr>
  </w:style>
  <w:style w:type="character" w:styleId="HTMLCode">
    <w:name w:val="HTML Code"/>
    <w:basedOn w:val="DefaultParagraphFont"/>
    <w:rsid w:val="000F19F3"/>
    <w:rPr>
      <w:rFonts w:ascii="Courier New" w:hAnsi="Courier New" w:cs="Courier New"/>
      <w:sz w:val="20"/>
      <w:szCs w:val="20"/>
      <w:lang w:val="en-GB"/>
    </w:rPr>
  </w:style>
  <w:style w:type="character" w:styleId="HTMLDefinition">
    <w:name w:val="HTML Definition"/>
    <w:basedOn w:val="DefaultParagraphFont"/>
    <w:rsid w:val="000F19F3"/>
    <w:rPr>
      <w:i/>
      <w:iCs/>
      <w:lang w:val="en-GB"/>
    </w:rPr>
  </w:style>
  <w:style w:type="character" w:styleId="HTMLKeyboard">
    <w:name w:val="HTML Keyboard"/>
    <w:basedOn w:val="DefaultParagraphFont"/>
    <w:rsid w:val="000F19F3"/>
    <w:rPr>
      <w:rFonts w:ascii="Courier New" w:hAnsi="Courier New" w:cs="Courier New"/>
      <w:sz w:val="20"/>
      <w:szCs w:val="20"/>
      <w:lang w:val="en-GB"/>
    </w:rPr>
  </w:style>
  <w:style w:type="paragraph" w:styleId="HTMLPreformatted">
    <w:name w:val="HTML Preformatted"/>
    <w:basedOn w:val="Normal"/>
    <w:link w:val="HTMLPreformattedChar"/>
    <w:rsid w:val="000F19F3"/>
    <w:rPr>
      <w:rFonts w:ascii="Courier New" w:hAnsi="Courier New" w:cs="Courier New"/>
      <w:szCs w:val="20"/>
    </w:rPr>
  </w:style>
  <w:style w:type="character" w:customStyle="1" w:styleId="HTMLPreformattedChar">
    <w:name w:val="HTML Preformatted Char"/>
    <w:basedOn w:val="DefaultParagraphFont"/>
    <w:link w:val="HTMLPreformatted"/>
    <w:rsid w:val="006C373A"/>
    <w:rPr>
      <w:rFonts w:ascii="Courier New" w:hAnsi="Courier New" w:cs="Courier New"/>
      <w:lang w:val="en-GB" w:eastAsia="en-US"/>
    </w:rPr>
  </w:style>
  <w:style w:type="character" w:styleId="HTMLSample">
    <w:name w:val="HTML Sample"/>
    <w:basedOn w:val="DefaultParagraphFont"/>
    <w:rsid w:val="000F19F3"/>
    <w:rPr>
      <w:rFonts w:ascii="Courier New" w:hAnsi="Courier New" w:cs="Courier New"/>
      <w:lang w:val="en-GB"/>
    </w:rPr>
  </w:style>
  <w:style w:type="character" w:styleId="HTMLTypewriter">
    <w:name w:val="HTML Typewriter"/>
    <w:basedOn w:val="DefaultParagraphFont"/>
    <w:rsid w:val="000F19F3"/>
    <w:rPr>
      <w:rFonts w:ascii="Courier New" w:hAnsi="Courier New" w:cs="Courier New"/>
      <w:sz w:val="20"/>
      <w:szCs w:val="20"/>
      <w:lang w:val="en-GB"/>
    </w:rPr>
  </w:style>
  <w:style w:type="character" w:styleId="HTMLVariable">
    <w:name w:val="HTML Variable"/>
    <w:basedOn w:val="DefaultParagraphFont"/>
    <w:rsid w:val="000F19F3"/>
    <w:rPr>
      <w:i/>
      <w:iCs/>
      <w:lang w:val="en-GB"/>
    </w:rPr>
  </w:style>
  <w:style w:type="character" w:styleId="Hyperlink">
    <w:name w:val="Hyperlink"/>
    <w:basedOn w:val="DefaultParagraphFont"/>
    <w:rsid w:val="000F19F3"/>
    <w:rPr>
      <w:color w:val="999999" w:themeColor="hyperlink"/>
      <w:u w:val="single"/>
      <w:lang w:val="en-GB"/>
    </w:rPr>
  </w:style>
  <w:style w:type="paragraph" w:styleId="Index1">
    <w:name w:val="index 1"/>
    <w:basedOn w:val="Normal"/>
    <w:next w:val="Normal"/>
    <w:autoRedefine/>
    <w:rsid w:val="000F19F3"/>
    <w:pPr>
      <w:ind w:left="200" w:hanging="200"/>
    </w:pPr>
  </w:style>
  <w:style w:type="paragraph" w:styleId="Index2">
    <w:name w:val="index 2"/>
    <w:basedOn w:val="Normal"/>
    <w:next w:val="Normal"/>
    <w:autoRedefine/>
    <w:rsid w:val="000F19F3"/>
    <w:pPr>
      <w:ind w:left="400" w:hanging="200"/>
    </w:pPr>
  </w:style>
  <w:style w:type="paragraph" w:styleId="Index3">
    <w:name w:val="index 3"/>
    <w:basedOn w:val="Normal"/>
    <w:next w:val="Normal"/>
    <w:autoRedefine/>
    <w:rsid w:val="000F19F3"/>
    <w:pPr>
      <w:ind w:left="600" w:hanging="200"/>
    </w:pPr>
  </w:style>
  <w:style w:type="paragraph" w:styleId="Index4">
    <w:name w:val="index 4"/>
    <w:basedOn w:val="Normal"/>
    <w:next w:val="Normal"/>
    <w:autoRedefine/>
    <w:rsid w:val="000F19F3"/>
    <w:pPr>
      <w:ind w:left="800" w:hanging="200"/>
    </w:pPr>
  </w:style>
  <w:style w:type="paragraph" w:styleId="Index5">
    <w:name w:val="index 5"/>
    <w:basedOn w:val="Normal"/>
    <w:next w:val="Normal"/>
    <w:autoRedefine/>
    <w:rsid w:val="000F19F3"/>
    <w:pPr>
      <w:ind w:left="1000" w:hanging="200"/>
    </w:pPr>
  </w:style>
  <w:style w:type="paragraph" w:styleId="Index6">
    <w:name w:val="index 6"/>
    <w:basedOn w:val="Normal"/>
    <w:next w:val="Normal"/>
    <w:autoRedefine/>
    <w:rsid w:val="000F19F3"/>
    <w:pPr>
      <w:ind w:left="1200" w:hanging="200"/>
    </w:pPr>
  </w:style>
  <w:style w:type="paragraph" w:styleId="Index7">
    <w:name w:val="index 7"/>
    <w:basedOn w:val="Normal"/>
    <w:next w:val="Normal"/>
    <w:autoRedefine/>
    <w:rsid w:val="000F19F3"/>
    <w:pPr>
      <w:ind w:left="1400" w:hanging="200"/>
    </w:pPr>
  </w:style>
  <w:style w:type="paragraph" w:styleId="Index8">
    <w:name w:val="index 8"/>
    <w:basedOn w:val="Normal"/>
    <w:next w:val="Normal"/>
    <w:autoRedefine/>
    <w:rsid w:val="000F19F3"/>
    <w:pPr>
      <w:ind w:left="1600" w:hanging="200"/>
    </w:pPr>
  </w:style>
  <w:style w:type="paragraph" w:styleId="Index9">
    <w:name w:val="index 9"/>
    <w:basedOn w:val="Normal"/>
    <w:next w:val="Normal"/>
    <w:autoRedefine/>
    <w:rsid w:val="000F19F3"/>
    <w:pPr>
      <w:ind w:left="1800" w:hanging="200"/>
    </w:pPr>
  </w:style>
  <w:style w:type="paragraph" w:styleId="IndexHeading">
    <w:name w:val="index heading"/>
    <w:basedOn w:val="Normal"/>
    <w:next w:val="Index1"/>
    <w:rsid w:val="000F19F3"/>
    <w:rPr>
      <w:rFonts w:asciiTheme="majorHAnsi" w:eastAsiaTheme="majorEastAsia" w:hAnsiTheme="majorHAnsi" w:cstheme="majorBidi"/>
      <w:b/>
      <w:bCs/>
    </w:rPr>
  </w:style>
  <w:style w:type="character" w:styleId="IntenseEmphasis">
    <w:name w:val="Intense Emphasis"/>
    <w:basedOn w:val="DefaultParagraphFont"/>
    <w:uiPriority w:val="21"/>
    <w:rsid w:val="000F19F3"/>
    <w:rPr>
      <w:b/>
      <w:bCs/>
      <w:i/>
      <w:iCs/>
      <w:color w:val="EBAF00" w:themeColor="accent1"/>
      <w:lang w:val="en-GB"/>
    </w:rPr>
  </w:style>
  <w:style w:type="paragraph" w:styleId="IntenseQuote">
    <w:name w:val="Intense Quote"/>
    <w:basedOn w:val="Normal"/>
    <w:next w:val="Normal"/>
    <w:link w:val="IntenseQuoteChar"/>
    <w:uiPriority w:val="30"/>
    <w:rsid w:val="000F19F3"/>
    <w:pPr>
      <w:pBdr>
        <w:bottom w:val="single" w:sz="4" w:space="4" w:color="EBAF00" w:themeColor="accent1"/>
      </w:pBdr>
      <w:spacing w:before="200" w:after="280"/>
      <w:ind w:left="936" w:right="936"/>
    </w:pPr>
    <w:rPr>
      <w:b/>
      <w:bCs/>
      <w:i/>
      <w:iCs/>
      <w:color w:val="EBAF00" w:themeColor="accent1"/>
    </w:rPr>
  </w:style>
  <w:style w:type="character" w:customStyle="1" w:styleId="IntenseQuoteChar">
    <w:name w:val="Intense Quote Char"/>
    <w:basedOn w:val="DefaultParagraphFont"/>
    <w:link w:val="IntenseQuote"/>
    <w:uiPriority w:val="30"/>
    <w:rsid w:val="006C373A"/>
    <w:rPr>
      <w:rFonts w:asciiTheme="minorHAnsi" w:hAnsiTheme="minorHAnsi"/>
      <w:b/>
      <w:bCs/>
      <w:i/>
      <w:iCs/>
      <w:color w:val="EBAF00" w:themeColor="accent1"/>
      <w:szCs w:val="24"/>
      <w:lang w:val="en-GB" w:eastAsia="en-US"/>
    </w:rPr>
  </w:style>
  <w:style w:type="character" w:styleId="IntenseReference">
    <w:name w:val="Intense Reference"/>
    <w:basedOn w:val="DefaultParagraphFont"/>
    <w:uiPriority w:val="32"/>
    <w:rsid w:val="000F19F3"/>
    <w:rPr>
      <w:b/>
      <w:bCs/>
      <w:smallCaps/>
      <w:color w:val="E65032" w:themeColor="accent2"/>
      <w:spacing w:val="5"/>
      <w:u w:val="single"/>
      <w:lang w:val="en-GB"/>
    </w:rPr>
  </w:style>
  <w:style w:type="character" w:styleId="LineNumber">
    <w:name w:val="line number"/>
    <w:basedOn w:val="DefaultParagraphFont"/>
    <w:rsid w:val="000F19F3"/>
    <w:rPr>
      <w:lang w:val="en-GB"/>
    </w:rPr>
  </w:style>
  <w:style w:type="paragraph" w:styleId="List">
    <w:name w:val="List"/>
    <w:basedOn w:val="Normal"/>
    <w:rsid w:val="000F19F3"/>
    <w:pPr>
      <w:ind w:left="283" w:hanging="283"/>
      <w:contextualSpacing/>
    </w:pPr>
  </w:style>
  <w:style w:type="paragraph" w:styleId="List2">
    <w:name w:val="List 2"/>
    <w:basedOn w:val="Normal"/>
    <w:rsid w:val="000F19F3"/>
    <w:pPr>
      <w:ind w:left="566" w:hanging="283"/>
      <w:contextualSpacing/>
    </w:pPr>
  </w:style>
  <w:style w:type="paragraph" w:styleId="List3">
    <w:name w:val="List 3"/>
    <w:basedOn w:val="Normal"/>
    <w:rsid w:val="000F19F3"/>
    <w:pPr>
      <w:ind w:left="849" w:hanging="283"/>
      <w:contextualSpacing/>
    </w:pPr>
  </w:style>
  <w:style w:type="paragraph" w:styleId="List4">
    <w:name w:val="List 4"/>
    <w:basedOn w:val="Normal"/>
    <w:rsid w:val="000F19F3"/>
    <w:pPr>
      <w:ind w:left="1132" w:hanging="283"/>
      <w:contextualSpacing/>
    </w:pPr>
  </w:style>
  <w:style w:type="paragraph" w:styleId="List5">
    <w:name w:val="List 5"/>
    <w:basedOn w:val="Normal"/>
    <w:rsid w:val="000F19F3"/>
    <w:pPr>
      <w:ind w:left="1415" w:hanging="283"/>
      <w:contextualSpacing/>
    </w:pPr>
  </w:style>
  <w:style w:type="paragraph" w:styleId="ListBullet">
    <w:name w:val="List Bullet"/>
    <w:basedOn w:val="Normal"/>
    <w:rsid w:val="000F19F3"/>
    <w:pPr>
      <w:numPr>
        <w:numId w:val="2"/>
      </w:numPr>
      <w:contextualSpacing/>
    </w:pPr>
  </w:style>
  <w:style w:type="paragraph" w:styleId="ListBullet2">
    <w:name w:val="List Bullet 2"/>
    <w:basedOn w:val="Normal"/>
    <w:rsid w:val="000F19F3"/>
    <w:pPr>
      <w:numPr>
        <w:numId w:val="3"/>
      </w:numPr>
      <w:contextualSpacing/>
    </w:pPr>
  </w:style>
  <w:style w:type="paragraph" w:styleId="ListBullet3">
    <w:name w:val="List Bullet 3"/>
    <w:basedOn w:val="Normal"/>
    <w:rsid w:val="000F19F3"/>
    <w:pPr>
      <w:numPr>
        <w:numId w:val="4"/>
      </w:numPr>
      <w:contextualSpacing/>
    </w:pPr>
  </w:style>
  <w:style w:type="paragraph" w:styleId="ListBullet4">
    <w:name w:val="List Bullet 4"/>
    <w:basedOn w:val="Normal"/>
    <w:rsid w:val="000F19F3"/>
    <w:pPr>
      <w:numPr>
        <w:numId w:val="5"/>
      </w:numPr>
      <w:contextualSpacing/>
    </w:pPr>
  </w:style>
  <w:style w:type="paragraph" w:styleId="ListBullet5">
    <w:name w:val="List Bullet 5"/>
    <w:basedOn w:val="Normal"/>
    <w:rsid w:val="000F19F3"/>
    <w:pPr>
      <w:numPr>
        <w:numId w:val="6"/>
      </w:numPr>
      <w:contextualSpacing/>
    </w:pPr>
  </w:style>
  <w:style w:type="paragraph" w:styleId="ListContinue">
    <w:name w:val="List Continue"/>
    <w:basedOn w:val="Normal"/>
    <w:rsid w:val="000F19F3"/>
    <w:pPr>
      <w:ind w:left="283"/>
      <w:contextualSpacing/>
    </w:pPr>
  </w:style>
  <w:style w:type="paragraph" w:styleId="ListContinue2">
    <w:name w:val="List Continue 2"/>
    <w:basedOn w:val="Normal"/>
    <w:rsid w:val="000F19F3"/>
    <w:pPr>
      <w:ind w:left="566"/>
      <w:contextualSpacing/>
    </w:pPr>
  </w:style>
  <w:style w:type="paragraph" w:styleId="ListContinue3">
    <w:name w:val="List Continue 3"/>
    <w:basedOn w:val="Normal"/>
    <w:rsid w:val="000F19F3"/>
    <w:pPr>
      <w:ind w:left="849"/>
      <w:contextualSpacing/>
    </w:pPr>
  </w:style>
  <w:style w:type="paragraph" w:styleId="ListContinue4">
    <w:name w:val="List Continue 4"/>
    <w:basedOn w:val="Normal"/>
    <w:rsid w:val="000F19F3"/>
    <w:pPr>
      <w:ind w:left="1132"/>
      <w:contextualSpacing/>
    </w:pPr>
  </w:style>
  <w:style w:type="paragraph" w:styleId="ListContinue5">
    <w:name w:val="List Continue 5"/>
    <w:basedOn w:val="Normal"/>
    <w:rsid w:val="000F19F3"/>
    <w:pPr>
      <w:ind w:left="1415"/>
      <w:contextualSpacing/>
    </w:pPr>
  </w:style>
  <w:style w:type="paragraph" w:styleId="ListNumber">
    <w:name w:val="List Number"/>
    <w:basedOn w:val="Normal"/>
    <w:rsid w:val="000F19F3"/>
    <w:pPr>
      <w:numPr>
        <w:numId w:val="7"/>
      </w:numPr>
      <w:contextualSpacing/>
    </w:pPr>
  </w:style>
  <w:style w:type="paragraph" w:styleId="ListNumber2">
    <w:name w:val="List Number 2"/>
    <w:basedOn w:val="Normal"/>
    <w:rsid w:val="000F19F3"/>
    <w:pPr>
      <w:numPr>
        <w:numId w:val="8"/>
      </w:numPr>
      <w:contextualSpacing/>
    </w:pPr>
  </w:style>
  <w:style w:type="paragraph" w:styleId="ListNumber3">
    <w:name w:val="List Number 3"/>
    <w:basedOn w:val="Normal"/>
    <w:rsid w:val="000F19F3"/>
    <w:pPr>
      <w:numPr>
        <w:numId w:val="9"/>
      </w:numPr>
      <w:contextualSpacing/>
    </w:pPr>
  </w:style>
  <w:style w:type="paragraph" w:styleId="ListNumber4">
    <w:name w:val="List Number 4"/>
    <w:basedOn w:val="Normal"/>
    <w:rsid w:val="000F19F3"/>
    <w:pPr>
      <w:numPr>
        <w:numId w:val="10"/>
      </w:numPr>
      <w:contextualSpacing/>
    </w:pPr>
  </w:style>
  <w:style w:type="paragraph" w:styleId="ListNumber5">
    <w:name w:val="List Number 5"/>
    <w:basedOn w:val="Normal"/>
    <w:rsid w:val="000F19F3"/>
    <w:pPr>
      <w:numPr>
        <w:numId w:val="11"/>
      </w:numPr>
      <w:contextualSpacing/>
    </w:pPr>
  </w:style>
  <w:style w:type="paragraph" w:styleId="ListParagraph">
    <w:name w:val="List Paragraph"/>
    <w:basedOn w:val="Normal"/>
    <w:uiPriority w:val="1"/>
    <w:qFormat/>
    <w:rsid w:val="000F19F3"/>
    <w:pPr>
      <w:ind w:left="720"/>
    </w:pPr>
  </w:style>
  <w:style w:type="paragraph" w:styleId="MessageHeader">
    <w:name w:val="Message Header"/>
    <w:basedOn w:val="Normal"/>
    <w:link w:val="MessageHeaderChar"/>
    <w:rsid w:val="000F19F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6C373A"/>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rsid w:val="000F19F3"/>
    <w:rPr>
      <w:rFonts w:ascii="Arial" w:hAnsi="Arial"/>
      <w:szCs w:val="24"/>
      <w:lang w:eastAsia="en-US"/>
    </w:rPr>
  </w:style>
  <w:style w:type="paragraph" w:styleId="NormalWeb">
    <w:name w:val="Normal (Web)"/>
    <w:basedOn w:val="Normal"/>
    <w:uiPriority w:val="99"/>
    <w:rsid w:val="000F19F3"/>
    <w:rPr>
      <w:rFonts w:ascii="Times New Roman" w:hAnsi="Times New Roman"/>
      <w:sz w:val="24"/>
    </w:rPr>
  </w:style>
  <w:style w:type="paragraph" w:styleId="NormalIndent">
    <w:name w:val="Normal Indent"/>
    <w:basedOn w:val="Normal"/>
    <w:rsid w:val="000F19F3"/>
    <w:pPr>
      <w:ind w:left="720"/>
    </w:pPr>
  </w:style>
  <w:style w:type="character" w:styleId="PlaceholderText">
    <w:name w:val="Placeholder Text"/>
    <w:basedOn w:val="DefaultParagraphFont"/>
    <w:uiPriority w:val="99"/>
    <w:semiHidden/>
    <w:rsid w:val="000F19F3"/>
    <w:rPr>
      <w:color w:val="808080"/>
      <w:lang w:val="en-GB"/>
    </w:rPr>
  </w:style>
  <w:style w:type="paragraph" w:styleId="PlainText">
    <w:name w:val="Plain Text"/>
    <w:basedOn w:val="Normal"/>
    <w:link w:val="PlainTextChar"/>
    <w:rsid w:val="000F19F3"/>
    <w:rPr>
      <w:rFonts w:ascii="Courier New" w:hAnsi="Courier New" w:cs="Courier New"/>
      <w:szCs w:val="20"/>
    </w:rPr>
  </w:style>
  <w:style w:type="character" w:customStyle="1" w:styleId="PlainTextChar">
    <w:name w:val="Plain Text Char"/>
    <w:basedOn w:val="DefaultParagraphFont"/>
    <w:link w:val="PlainText"/>
    <w:rsid w:val="006C373A"/>
    <w:rPr>
      <w:rFonts w:ascii="Courier New" w:hAnsi="Courier New" w:cs="Courier New"/>
      <w:lang w:val="en-GB" w:eastAsia="en-US"/>
    </w:rPr>
  </w:style>
  <w:style w:type="paragraph" w:styleId="Signature">
    <w:name w:val="Signature"/>
    <w:basedOn w:val="Normal"/>
    <w:link w:val="SignatureChar"/>
    <w:rsid w:val="000F19F3"/>
    <w:pPr>
      <w:ind w:left="4252"/>
    </w:pPr>
  </w:style>
  <w:style w:type="character" w:customStyle="1" w:styleId="SignatureChar">
    <w:name w:val="Signature Char"/>
    <w:basedOn w:val="DefaultParagraphFont"/>
    <w:link w:val="Signature"/>
    <w:rsid w:val="006C373A"/>
    <w:rPr>
      <w:rFonts w:asciiTheme="minorHAnsi" w:hAnsiTheme="minorHAnsi"/>
      <w:szCs w:val="24"/>
      <w:lang w:val="en-GB" w:eastAsia="en-US"/>
    </w:rPr>
  </w:style>
  <w:style w:type="character" w:styleId="Strong">
    <w:name w:val="Strong"/>
    <w:basedOn w:val="DefaultParagraphFont"/>
    <w:rsid w:val="000F19F3"/>
    <w:rPr>
      <w:b/>
      <w:bCs/>
      <w:lang w:val="en-GB"/>
    </w:rPr>
  </w:style>
  <w:style w:type="paragraph" w:styleId="Subtitle">
    <w:name w:val="Subtitle"/>
    <w:basedOn w:val="Normal"/>
    <w:next w:val="Normal"/>
    <w:link w:val="SubtitleChar"/>
    <w:rsid w:val="000F19F3"/>
    <w:pPr>
      <w:spacing w:after="60"/>
      <w:jc w:val="center"/>
      <w:outlineLvl w:val="1"/>
    </w:pPr>
    <w:rPr>
      <w:rFonts w:asciiTheme="majorHAnsi" w:eastAsiaTheme="majorEastAsia" w:hAnsiTheme="majorHAnsi" w:cstheme="majorBidi"/>
      <w:sz w:val="24"/>
    </w:rPr>
  </w:style>
  <w:style w:type="character" w:customStyle="1" w:styleId="SubtitleChar">
    <w:name w:val="Subtitle Char"/>
    <w:basedOn w:val="DefaultParagraphFont"/>
    <w:link w:val="Subtitle"/>
    <w:rsid w:val="006C373A"/>
    <w:rPr>
      <w:rFonts w:asciiTheme="majorHAnsi" w:eastAsiaTheme="majorEastAsia" w:hAnsiTheme="majorHAnsi" w:cstheme="majorBidi"/>
      <w:sz w:val="24"/>
      <w:szCs w:val="24"/>
      <w:lang w:val="en-GB" w:eastAsia="en-US"/>
    </w:rPr>
  </w:style>
  <w:style w:type="character" w:styleId="SubtleEmphasis">
    <w:name w:val="Subtle Emphasis"/>
    <w:basedOn w:val="DefaultParagraphFont"/>
    <w:uiPriority w:val="19"/>
    <w:rsid w:val="000F19F3"/>
    <w:rPr>
      <w:i/>
      <w:iCs/>
      <w:color w:val="808080" w:themeColor="text1" w:themeTint="7F"/>
      <w:lang w:val="en-GB"/>
    </w:rPr>
  </w:style>
  <w:style w:type="character" w:styleId="SubtleReference">
    <w:name w:val="Subtle Reference"/>
    <w:basedOn w:val="DefaultParagraphFont"/>
    <w:uiPriority w:val="31"/>
    <w:rsid w:val="000F19F3"/>
    <w:rPr>
      <w:smallCaps/>
      <w:color w:val="E65032" w:themeColor="accent2"/>
      <w:u w:val="single"/>
      <w:lang w:val="en-GB"/>
    </w:rPr>
  </w:style>
  <w:style w:type="paragraph" w:styleId="TableofAuthorities">
    <w:name w:val="table of authorities"/>
    <w:basedOn w:val="Normal"/>
    <w:next w:val="Normal"/>
    <w:rsid w:val="000F19F3"/>
    <w:pPr>
      <w:ind w:left="200" w:hanging="200"/>
    </w:pPr>
  </w:style>
  <w:style w:type="paragraph" w:styleId="TableofFigures">
    <w:name w:val="table of figures"/>
    <w:basedOn w:val="Normal"/>
    <w:next w:val="Normal"/>
    <w:rsid w:val="000F19F3"/>
  </w:style>
  <w:style w:type="paragraph" w:styleId="TOAHeading">
    <w:name w:val="toa heading"/>
    <w:basedOn w:val="Normal"/>
    <w:next w:val="Normal"/>
    <w:rsid w:val="000F19F3"/>
    <w:rPr>
      <w:rFonts w:asciiTheme="majorHAnsi" w:eastAsiaTheme="majorEastAsia" w:hAnsiTheme="majorHAnsi" w:cstheme="majorBidi"/>
      <w:b/>
      <w:bCs/>
      <w:sz w:val="24"/>
    </w:rPr>
  </w:style>
  <w:style w:type="paragraph" w:customStyle="1" w:styleId="BodyTextIndent4">
    <w:name w:val="Body Text Indent 4"/>
    <w:basedOn w:val="BodyTextIndent3"/>
    <w:rsid w:val="000F19F3"/>
    <w:pPr>
      <w:ind w:left="1814"/>
    </w:pPr>
    <w:rPr>
      <w:szCs w:val="16"/>
    </w:rPr>
  </w:style>
  <w:style w:type="paragraph" w:customStyle="1" w:styleId="BodyTextIndent5">
    <w:name w:val="Body Text Indent 5"/>
    <w:basedOn w:val="BodyTextIndent4"/>
    <w:rsid w:val="000F19F3"/>
    <w:pPr>
      <w:ind w:left="2268"/>
    </w:pPr>
  </w:style>
  <w:style w:type="table" w:customStyle="1" w:styleId="TWTablePlain">
    <w:name w:val="TW Table Plain"/>
    <w:rsid w:val="000F19F3"/>
    <w:rPr>
      <w:rFonts w:asciiTheme="minorHAnsi" w:hAnsiTheme="minorHAnsi"/>
      <w:lang w:eastAsia="zh-CN"/>
    </w:rPr>
    <w:tblPr>
      <w:tblInd w:w="57" w:type="dxa"/>
      <w:tblBorders>
        <w:top w:val="single" w:sz="4" w:space="0" w:color="auto"/>
        <w:bottom w:val="single" w:sz="12" w:space="0" w:color="auto"/>
      </w:tblBorders>
      <w:tblCellMar>
        <w:top w:w="57" w:type="dxa"/>
        <w:left w:w="57" w:type="dxa"/>
        <w:bottom w:w="57" w:type="dxa"/>
        <w:right w:w="57" w:type="dxa"/>
      </w:tblCellMar>
    </w:tblPr>
    <w:tblStylePr w:type="firstRow">
      <w:pPr>
        <w:keepNext/>
        <w:keepLines/>
        <w:wordWrap/>
      </w:pPr>
      <w:rPr>
        <w:b/>
        <w:color w:val="auto"/>
      </w:rPr>
      <w:tblPr/>
      <w:tcPr>
        <w:tcBorders>
          <w:top w:val="single" w:sz="12" w:space="0" w:color="auto"/>
          <w:left w:val="nil"/>
          <w:bottom w:val="single" w:sz="4" w:space="0" w:color="auto"/>
          <w:right w:val="nil"/>
          <w:insideH w:val="nil"/>
          <w:insideV w:val="nil"/>
          <w:tl2br w:val="nil"/>
          <w:tr2bl w:val="nil"/>
        </w:tcBorders>
      </w:tcPr>
    </w:tblStylePr>
  </w:style>
  <w:style w:type="table" w:customStyle="1" w:styleId="TWTablePlainWide">
    <w:name w:val="TW Table Plain Wide"/>
    <w:basedOn w:val="TWTablePlain"/>
    <w:uiPriority w:val="99"/>
    <w:rsid w:val="000F19F3"/>
    <w:tblPr>
      <w:tblCellMar>
        <w:top w:w="170" w:type="dxa"/>
        <w:bottom w:w="170" w:type="dxa"/>
      </w:tblCellMar>
    </w:tblPr>
    <w:tblStylePr w:type="firstRow">
      <w:pPr>
        <w:keepNext/>
        <w:keepLines/>
        <w:wordWrap/>
      </w:pPr>
      <w:rPr>
        <w:b/>
        <w:color w:val="auto"/>
      </w:rPr>
      <w:tblPr/>
      <w:tcPr>
        <w:tcBorders>
          <w:top w:val="single" w:sz="12" w:space="0" w:color="auto"/>
          <w:left w:val="nil"/>
          <w:bottom w:val="single" w:sz="4" w:space="0" w:color="auto"/>
          <w:right w:val="nil"/>
          <w:insideH w:val="nil"/>
          <w:insideV w:val="nil"/>
          <w:tl2br w:val="nil"/>
          <w:tr2bl w:val="nil"/>
        </w:tcBorders>
      </w:tcPr>
    </w:tblStylePr>
  </w:style>
  <w:style w:type="table" w:customStyle="1" w:styleId="TWTableRed">
    <w:name w:val="TW Table Red"/>
    <w:basedOn w:val="TWTablePlain"/>
    <w:uiPriority w:val="99"/>
    <w:rsid w:val="000F19F3"/>
    <w:tblPr/>
    <w:tblStylePr w:type="firstRow">
      <w:pPr>
        <w:keepNext/>
        <w:keepLines/>
        <w:wordWrap/>
      </w:pPr>
      <w:rPr>
        <w:b/>
        <w:color w:val="FFFFFF" w:themeColor="background1"/>
      </w:rPr>
      <w:tblPr/>
      <w:tcPr>
        <w:tcBorders>
          <w:top w:val="single" w:sz="12" w:space="0" w:color="auto"/>
          <w:left w:val="nil"/>
          <w:bottom w:val="single" w:sz="4" w:space="0" w:color="auto"/>
          <w:right w:val="nil"/>
          <w:insideH w:val="nil"/>
          <w:insideV w:val="nil"/>
          <w:tl2br w:val="nil"/>
          <w:tr2bl w:val="nil"/>
        </w:tcBorders>
        <w:shd w:val="clear" w:color="auto" w:fill="E65032" w:themeFill="background2"/>
      </w:tcPr>
    </w:tblStylePr>
  </w:style>
  <w:style w:type="table" w:customStyle="1" w:styleId="TWTableRedWide">
    <w:name w:val="TW Table Red Wide"/>
    <w:basedOn w:val="TWTablePlainWide"/>
    <w:uiPriority w:val="99"/>
    <w:rsid w:val="000F19F3"/>
    <w:tblPr/>
    <w:tblStylePr w:type="firstRow">
      <w:pPr>
        <w:keepNext/>
        <w:keepLines/>
        <w:wordWrap/>
      </w:pPr>
      <w:rPr>
        <w:b/>
        <w:color w:val="FFFFFF" w:themeColor="background1"/>
      </w:rPr>
      <w:tblPr/>
      <w:tcPr>
        <w:tcBorders>
          <w:top w:val="single" w:sz="12" w:space="0" w:color="auto"/>
          <w:left w:val="nil"/>
          <w:bottom w:val="single" w:sz="4" w:space="0" w:color="auto"/>
          <w:right w:val="nil"/>
          <w:insideH w:val="nil"/>
          <w:insideV w:val="nil"/>
          <w:tl2br w:val="nil"/>
          <w:tr2bl w:val="nil"/>
        </w:tcBorders>
        <w:shd w:val="clear" w:color="auto" w:fill="E65032" w:themeFill="background2"/>
      </w:tcPr>
    </w:tblStylePr>
  </w:style>
  <w:style w:type="paragraph" w:customStyle="1" w:styleId="MainHeading">
    <w:name w:val="Main Heading"/>
    <w:basedOn w:val="BodyText"/>
    <w:rsid w:val="000F19F3"/>
    <w:pPr>
      <w:spacing w:before="1800" w:after="120"/>
    </w:pPr>
    <w:rPr>
      <w:sz w:val="36"/>
      <w:szCs w:val="4"/>
    </w:rPr>
  </w:style>
  <w:style w:type="character" w:customStyle="1" w:styleId="FooterChar">
    <w:name w:val="Footer Char"/>
    <w:basedOn w:val="DefaultParagraphFont"/>
    <w:link w:val="Footer"/>
    <w:rsid w:val="002D78D0"/>
    <w:rPr>
      <w:rFonts w:asciiTheme="minorHAnsi" w:hAnsiTheme="minorHAnsi"/>
      <w:sz w:val="12"/>
      <w:szCs w:val="24"/>
      <w:lang w:val="en-GB" w:eastAsia="en-US"/>
    </w:rPr>
  </w:style>
  <w:style w:type="paragraph" w:customStyle="1" w:styleId="TableBullet">
    <w:name w:val="Table Bullet"/>
    <w:basedOn w:val="BulletList1"/>
    <w:rsid w:val="005E7AAE"/>
    <w:pPr>
      <w:spacing w:before="0" w:after="0"/>
      <w:ind w:left="459" w:hanging="459"/>
    </w:pPr>
  </w:style>
  <w:style w:type="table" w:styleId="GridTable1Light">
    <w:name w:val="Grid Table 1 Light"/>
    <w:basedOn w:val="TableNormal"/>
    <w:uiPriority w:val="46"/>
    <w:rsid w:val="0090456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0A7A58"/>
    <w:pPr>
      <w:widowControl w:val="0"/>
      <w:spacing w:before="0" w:after="0" w:line="240" w:lineRule="auto"/>
      <w:ind w:left="0" w:firstLine="0"/>
    </w:pPr>
    <w:rPr>
      <w:lang w:val="en-US"/>
    </w:rPr>
  </w:style>
  <w:style w:type="character" w:customStyle="1" w:styleId="A3">
    <w:name w:val="A3"/>
    <w:uiPriority w:val="99"/>
    <w:rsid w:val="00603DD7"/>
    <w:rPr>
      <w:rFonts w:cs="Georgia"/>
      <w:color w:val="000000"/>
      <w:sz w:val="20"/>
      <w:szCs w:val="20"/>
    </w:rPr>
  </w:style>
  <w:style w:type="character" w:customStyle="1" w:styleId="Level2Char">
    <w:name w:val="Level 2 Char"/>
    <w:basedOn w:val="DefaultParagraphFont"/>
    <w:link w:val="Level2"/>
    <w:uiPriority w:val="6"/>
    <w:locked/>
    <w:rsid w:val="00A13234"/>
    <w:rPr>
      <w:rFonts w:ascii="Arial" w:eastAsia="Arial Unicode MS" w:hAnsi="Arial" w:cs="Arial"/>
      <w:sz w:val="24"/>
      <w:szCs w:val="24"/>
    </w:rPr>
  </w:style>
  <w:style w:type="paragraph" w:customStyle="1" w:styleId="Level2">
    <w:name w:val="Level 2"/>
    <w:basedOn w:val="Normal"/>
    <w:next w:val="Normal"/>
    <w:link w:val="Level2Char"/>
    <w:uiPriority w:val="6"/>
    <w:qFormat/>
    <w:rsid w:val="00A13234"/>
    <w:pPr>
      <w:tabs>
        <w:tab w:val="num" w:pos="3589"/>
      </w:tabs>
      <w:spacing w:after="0" w:line="240" w:lineRule="auto"/>
      <w:ind w:left="3589" w:hanging="709"/>
      <w:jc w:val="both"/>
      <w:outlineLvl w:val="1"/>
    </w:pPr>
    <w:rPr>
      <w:rFonts w:ascii="Arial" w:eastAsia="Arial Unicode MS" w:hAnsi="Arial" w:cs="Arial"/>
      <w:sz w:val="24"/>
      <w:szCs w:val="24"/>
      <w:lang w:eastAsia="en-GB"/>
    </w:rPr>
  </w:style>
  <w:style w:type="paragraph" w:customStyle="1" w:styleId="Level3">
    <w:name w:val="Level 3"/>
    <w:basedOn w:val="Normal"/>
    <w:next w:val="Normal"/>
    <w:uiPriority w:val="6"/>
    <w:qFormat/>
    <w:rsid w:val="00A13234"/>
    <w:pPr>
      <w:tabs>
        <w:tab w:val="num" w:pos="3948"/>
      </w:tabs>
      <w:spacing w:before="0" w:after="210" w:line="264" w:lineRule="auto"/>
      <w:ind w:left="3948" w:hanging="708"/>
      <w:jc w:val="both"/>
      <w:outlineLvl w:val="2"/>
    </w:pPr>
    <w:rPr>
      <w:rFonts w:ascii="Arial" w:eastAsia="Arial Unicode MS" w:hAnsi="Arial" w:cs="Times New Roman"/>
      <w:sz w:val="21"/>
      <w:szCs w:val="21"/>
      <w:lang w:eastAsia="en-GB"/>
    </w:rPr>
  </w:style>
  <w:style w:type="paragraph" w:customStyle="1" w:styleId="Level4">
    <w:name w:val="Level 4"/>
    <w:basedOn w:val="Normal"/>
    <w:next w:val="Normal"/>
    <w:uiPriority w:val="6"/>
    <w:qFormat/>
    <w:rsid w:val="00A13234"/>
    <w:pPr>
      <w:tabs>
        <w:tab w:val="num" w:pos="5006"/>
      </w:tabs>
      <w:spacing w:before="0" w:after="210" w:line="264" w:lineRule="auto"/>
      <w:ind w:left="5006" w:hanging="709"/>
      <w:jc w:val="both"/>
      <w:outlineLvl w:val="3"/>
    </w:pPr>
    <w:rPr>
      <w:rFonts w:ascii="Arial" w:eastAsia="Arial Unicode MS" w:hAnsi="Arial" w:cs="Times New Roman"/>
      <w:sz w:val="21"/>
      <w:szCs w:val="21"/>
      <w:lang w:eastAsia="en-GB"/>
    </w:rPr>
  </w:style>
  <w:style w:type="paragraph" w:customStyle="1" w:styleId="Level5">
    <w:name w:val="Level 5"/>
    <w:basedOn w:val="Normal"/>
    <w:next w:val="Normal"/>
    <w:uiPriority w:val="6"/>
    <w:qFormat/>
    <w:rsid w:val="00A13234"/>
    <w:pPr>
      <w:tabs>
        <w:tab w:val="num" w:pos="5715"/>
      </w:tabs>
      <w:spacing w:before="0" w:after="210" w:line="264" w:lineRule="auto"/>
      <w:ind w:left="5715" w:hanging="709"/>
      <w:jc w:val="both"/>
      <w:outlineLvl w:val="4"/>
    </w:pPr>
    <w:rPr>
      <w:rFonts w:ascii="Arial" w:eastAsia="Arial Unicode MS" w:hAnsi="Arial" w:cs="Times New Roman"/>
      <w:sz w:val="21"/>
      <w:szCs w:val="21"/>
      <w:lang w:eastAsia="en-GB"/>
    </w:rPr>
  </w:style>
  <w:style w:type="paragraph" w:customStyle="1" w:styleId="Pa20">
    <w:name w:val="Pa20"/>
    <w:basedOn w:val="Normal"/>
    <w:next w:val="Normal"/>
    <w:uiPriority w:val="99"/>
    <w:rsid w:val="003A06D7"/>
    <w:pPr>
      <w:autoSpaceDE w:val="0"/>
      <w:autoSpaceDN w:val="0"/>
      <w:adjustRightInd w:val="0"/>
      <w:spacing w:before="0" w:after="0" w:line="181" w:lineRule="atLeast"/>
      <w:ind w:left="0" w:firstLine="0"/>
    </w:pPr>
    <w:rPr>
      <w:rFonts w:ascii="Georgia" w:eastAsia="Times New Roman" w:hAnsi="Georgia" w:cs="Times New Roman"/>
      <w:sz w:val="24"/>
      <w:szCs w:val="24"/>
      <w:lang w:eastAsia="en-GB"/>
    </w:rPr>
  </w:style>
  <w:style w:type="character" w:styleId="UnresolvedMention">
    <w:name w:val="Unresolved Mention"/>
    <w:basedOn w:val="DefaultParagraphFont"/>
    <w:uiPriority w:val="99"/>
    <w:semiHidden/>
    <w:unhideWhenUsed/>
    <w:rsid w:val="0063031E"/>
    <w:rPr>
      <w:color w:val="605E5C"/>
      <w:shd w:val="clear" w:color="auto" w:fill="E1DFDD"/>
    </w:rPr>
  </w:style>
  <w:style w:type="paragraph" w:styleId="Revision">
    <w:name w:val="Revision"/>
    <w:hidden/>
    <w:uiPriority w:val="99"/>
    <w:semiHidden/>
    <w:rsid w:val="00167614"/>
    <w:pPr>
      <w:spacing w:before="0" w:after="0" w:line="240" w:lineRule="auto"/>
      <w:ind w:left="0" w:firstLine="0"/>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55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nhbc.co.uk/nhbc-pension-scheme" TargetMode="Externa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owers%20watson\core%20templates\Towers%20Watson\TW%20Blank.dotx" TargetMode="External"/></Relationships>
</file>

<file path=word/theme/theme1.xml><?xml version="1.0" encoding="utf-8"?>
<a:theme xmlns:a="http://schemas.openxmlformats.org/drawingml/2006/main" name="TW Gold &amp; Red">
  <a:themeElements>
    <a:clrScheme name="Gold &amp; Red">
      <a:dk1>
        <a:sysClr val="windowText" lastClr="000000"/>
      </a:dk1>
      <a:lt1>
        <a:sysClr val="window" lastClr="FFFFFF"/>
      </a:lt1>
      <a:dk2>
        <a:srgbClr val="999999"/>
      </a:dk2>
      <a:lt2>
        <a:srgbClr val="E65032"/>
      </a:lt2>
      <a:accent1>
        <a:srgbClr val="EBAF00"/>
      </a:accent1>
      <a:accent2>
        <a:srgbClr val="E65032"/>
      </a:accent2>
      <a:accent3>
        <a:srgbClr val="999999"/>
      </a:accent3>
      <a:accent4>
        <a:srgbClr val="EA745C"/>
      </a:accent4>
      <a:accent5>
        <a:srgbClr val="FFDA65"/>
      </a:accent5>
      <a:accent6>
        <a:srgbClr val="A00050"/>
      </a:accent6>
      <a:hlink>
        <a:srgbClr val="999999"/>
      </a:hlink>
      <a:folHlink>
        <a:srgbClr val="EA745C"/>
      </a:folHlink>
    </a:clrScheme>
    <a:fontScheme name="TW">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TCT Client Project Document</p:Name>
  <p:Description/>
  <p:Statement/>
  <p:PolicyItems>
    <p:PolicyItem featureId="Microsoft.Office.RecordsManagement.PolicyFeatures.Expiration" staticId="0x010100725E60EF2E824CBB9F9F6219DD094B09A1B2C2D1|-122337073" UniqueId="f2ab5f73-76ad-451e-a107-31c194aa3081">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DeletePreviousVersions"/>
              </data>
            </stages>
          </Schedule>
        </Schedules>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TCT Client Project Document" ma:contentTypeID="0x010100725E60EF2E824CBB9F9F6219DD094B09A1B2C2D10015A3535D4F9D6541A58CCF1C040AB451" ma:contentTypeVersion="8" ma:contentTypeDescription="Create a new document." ma:contentTypeScope="" ma:versionID="40ab3dad3d6636804cd4971953046d3d">
  <xsd:schema xmlns:xsd="http://www.w3.org/2001/XMLSchema" xmlns:xs="http://www.w3.org/2001/XMLSchema" xmlns:p="http://schemas.microsoft.com/office/2006/metadata/properties" xmlns:ns1="http://schemas.microsoft.com/sharepoint/v3" xmlns:ns2="e3af3928-72d3-4b8a-b86b-2250b2499d03" xmlns:ns3="20d1c3a6-2009-40be-aa95-9261b06d293d" targetNamespace="http://schemas.microsoft.com/office/2006/metadata/properties" ma:root="true" ma:fieldsID="02c42e7b1f4004f3e1baa30287ad8c6b" ns1:_="" ns2:_="" ns3:_="">
    <xsd:import namespace="http://schemas.microsoft.com/sharepoint/v3"/>
    <xsd:import namespace="e3af3928-72d3-4b8a-b86b-2250b2499d03"/>
    <xsd:import namespace="20d1c3a6-2009-40be-aa95-9261b06d293d"/>
    <xsd:element name="properties">
      <xsd:complexType>
        <xsd:sequence>
          <xsd:element name="documentManagement">
            <xsd:complexType>
              <xsd:all>
                <xsd:element ref="ns2:TCT_PersonallyIdentifiableInformation" minOccurs="0"/>
                <xsd:element ref="ns2:TCT_PersonalHealthInformation" minOccurs="0"/>
                <xsd:element ref="ns2:TCT_ClientSpecialty" minOccurs="0"/>
                <xsd:element ref="ns2:TCT_ClientSpecialtyCode" minOccurs="0"/>
                <xsd:element ref="ns2:TCT_WorkDocumentReviewStatus" minOccurs="0"/>
                <xsd:element ref="ns2:TCT_PreparedBy" minOccurs="0"/>
                <xsd:element ref="ns2:TCT_PreparedDate" minOccurs="0"/>
                <xsd:element ref="ns2:TCT_PreparedByRequired" minOccurs="0"/>
                <xsd:element ref="ns2:TCT_TechnicalReviewer" minOccurs="0"/>
                <xsd:element ref="ns2:TCT_TechnicalReviewApprovalDate" minOccurs="0"/>
                <xsd:element ref="ns2:TCT_TechnicalReviewerRequired" minOccurs="0"/>
                <xsd:element ref="ns2:TCT_WorkReviewComments" minOccurs="0"/>
                <xsd:element ref="ns2:TCT_ConsultingReviewer" minOccurs="0"/>
                <xsd:element ref="ns2:TCT_ConsultingReviewApprovalDate" minOccurs="0"/>
                <xsd:element ref="ns2:TCT_ConsultingReviewerRequired" minOccurs="0"/>
                <xsd:element ref="ns2:TCT_EditorialReviewer" minOccurs="0"/>
                <xsd:element ref="ns2:TCT_EditorialReviewApprovalDate" minOccurs="0"/>
                <xsd:element ref="ns2:TCT_EditorialReviewerRequired" minOccurs="0"/>
                <xsd:element ref="ns2:TCT_SeniorPeerReviewer" minOccurs="0"/>
                <xsd:element ref="ns2:TCT_SeniorPeerReviewApprovalDate" minOccurs="0"/>
                <xsd:element ref="ns2:TCT_SeniorPeerReviewerRequired" minOccurs="0"/>
                <xsd:element ref="ns1:_dlc_Exempt" minOccurs="0"/>
                <xsd:element ref="ns1:_dlc_ExpireDateSaved" minOccurs="0"/>
                <xsd:element ref="ns1:_dlc_ExpireDate" minOccurs="0"/>
                <xsd:element ref="ns2:TCT_ProjectPhase"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9" nillable="true" ma:displayName="Exempt from Policy" ma:hidden="true" ma:internalName="_dlc_Exempt" ma:readOnly="true">
      <xsd:simpleType>
        <xsd:restriction base="dms:Unknown"/>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af3928-72d3-4b8a-b86b-2250b2499d03" elementFormDefault="qualified">
    <xsd:import namespace="http://schemas.microsoft.com/office/2006/documentManagement/types"/>
    <xsd:import namespace="http://schemas.microsoft.com/office/infopath/2007/PartnerControls"/>
    <xsd:element name="TCT_PersonallyIdentifiableInformation" ma:index="8" nillable="true" ma:displayName="PII" ma:default="No" ma:description="Any data about an identifiable individual (such as date of birth or unique ID number)" ma:internalName="TCT_PersonallyIdentifiableInformation">
      <xsd:simpleType>
        <xsd:restriction base="dms:Choice">
          <xsd:enumeration value="Yes"/>
          <xsd:enumeration value="No"/>
        </xsd:restriction>
      </xsd:simpleType>
    </xsd:element>
    <xsd:element name="TCT_PersonalHealthInformation" ma:index="9" nillable="true" ma:displayName="PHI(US Only)" ma:default="No" ma:description="For US Projects Only.  Any information from a covered entity about health, coverage, benefits, or payments that can be linked to a specific individual. For details, please see the FAQ section within the Resources site" ma:internalName="TCT_PersonalHealthInformation">
      <xsd:simpleType>
        <xsd:restriction base="dms:Choice">
          <xsd:enumeration value="Yes"/>
          <xsd:enumeration value="No"/>
        </xsd:restriction>
      </xsd:simpleType>
    </xsd:element>
    <xsd:element name="TCT_ClientSpecialty" ma:index="10" nillable="true" ma:displayName="Client/Specialty" ma:internalName="TCT_ClientSpecialty">
      <xsd:simpleType>
        <xsd:restriction base="dms:Text"/>
      </xsd:simpleType>
    </xsd:element>
    <xsd:element name="TCT_ClientSpecialtyCode" ma:index="11" nillable="true" ma:displayName="Client/Specialty Code" ma:internalName="TCT_ClientSpecialtyCode">
      <xsd:simpleType>
        <xsd:restriction base="dms:Text"/>
      </xsd:simpleType>
    </xsd:element>
    <xsd:element name="TCT_WorkDocumentReviewStatus" ma:index="12" nillable="true" ma:displayName="WR Required?" ma:internalName="TCT_WorkDocumentReviewStatus">
      <xsd:simpleType>
        <xsd:restriction base="dms:Choice">
          <xsd:enumeration value="Yes"/>
          <xsd:enumeration value="No"/>
        </xsd:restriction>
      </xsd:simpleType>
    </xsd:element>
    <xsd:element name="TCT_PreparedBy" ma:index="13" nillable="true" ma:displayName="Doer" ma:internalName="TCT_Prepared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CT_PreparedDate" ma:index="14" nillable="true" ma:displayName="Doer Date" ma:format="DateOnly" ma:internalName="TCT_PreparedDate">
      <xsd:simpleType>
        <xsd:restriction base="dms:DateTime"/>
      </xsd:simpleType>
    </xsd:element>
    <xsd:element name="TCT_PreparedByRequired" ma:index="15" nillable="true" ma:displayName="Doer Not Req" ma:internalName="TCT_PreparedByRequired">
      <xsd:simpleType>
        <xsd:restriction base="dms:Boolean"/>
      </xsd:simpleType>
    </xsd:element>
    <xsd:element name="TCT_TechnicalReviewer" ma:index="16" nillable="true" ma:displayName="TR" ma:internalName="TCT_Technical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CT_TechnicalReviewApprovalDate" ma:index="17" nillable="true" ma:displayName="TR Date" ma:format="DateOnly" ma:internalName="TCT_TechnicalReviewApprovalDate">
      <xsd:simpleType>
        <xsd:restriction base="dms:DateTime"/>
      </xsd:simpleType>
    </xsd:element>
    <xsd:element name="TCT_TechnicalReviewerRequired" ma:index="18" nillable="true" ma:displayName="TR Not Req" ma:internalName="TCT_TechnicalReviewerRequired">
      <xsd:simpleType>
        <xsd:restriction base="dms:Boolean"/>
      </xsd:simpleType>
    </xsd:element>
    <xsd:element name="TCT_WorkReviewComments" ma:index="19" nillable="true" ma:displayName="WR Comments" ma:internalName="TCT_WorkReviewComments">
      <xsd:simpleType>
        <xsd:restriction base="dms:Note">
          <xsd:maxLength value="255"/>
        </xsd:restriction>
      </xsd:simpleType>
    </xsd:element>
    <xsd:element name="TCT_ConsultingReviewer" ma:index="20" nillable="true" ma:displayName="CR" ma:internalName="TCT_Consulting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CT_ConsultingReviewApprovalDate" ma:index="21" nillable="true" ma:displayName="CR Date" ma:format="DateOnly" ma:internalName="TCT_ConsultingReviewApprovalDate">
      <xsd:simpleType>
        <xsd:restriction base="dms:DateTime"/>
      </xsd:simpleType>
    </xsd:element>
    <xsd:element name="TCT_ConsultingReviewerRequired" ma:index="22" nillable="true" ma:displayName="CR Not Req" ma:internalName="TCT_ConsultingReviewerRequired">
      <xsd:simpleType>
        <xsd:restriction base="dms:Boolean"/>
      </xsd:simpleType>
    </xsd:element>
    <xsd:element name="TCT_EditorialReviewer" ma:index="23" nillable="true" ma:displayName="ER" ma:internalName="TCT_Editorial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CT_EditorialReviewApprovalDate" ma:index="24" nillable="true" ma:displayName="ER Date" ma:format="DateOnly" ma:internalName="TCT_EditorialReviewApprovalDate">
      <xsd:simpleType>
        <xsd:restriction base="dms:DateTime"/>
      </xsd:simpleType>
    </xsd:element>
    <xsd:element name="TCT_EditorialReviewerRequired" ma:index="25" nillable="true" ma:displayName="ER Not Req" ma:internalName="TCT_EditorialReviewerRequired">
      <xsd:simpleType>
        <xsd:restriction base="dms:Boolean"/>
      </xsd:simpleType>
    </xsd:element>
    <xsd:element name="TCT_SeniorPeerReviewer" ma:index="26" nillable="true" ma:displayName="SPR" ma:internalName="TCT_SeniorPeer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CT_SeniorPeerReviewApprovalDate" ma:index="27" nillable="true" ma:displayName="SPR Date" ma:format="DateOnly" ma:internalName="TCT_SeniorPeerReviewApprovalDate">
      <xsd:simpleType>
        <xsd:restriction base="dms:DateTime"/>
      </xsd:simpleType>
    </xsd:element>
    <xsd:element name="TCT_SeniorPeerReviewerRequired" ma:index="28" nillable="true" ma:displayName="SPR Not Req" ma:internalName="TCT_SeniorPeerReviewerRequired">
      <xsd:simpleType>
        <xsd:restriction base="dms:Boolean"/>
      </xsd:simpleType>
    </xsd:element>
    <xsd:element name="TCT_ProjectPhase" ma:index="32" nillable="true" ma:displayName="Project Phase" ma:internalName="TCT_ProjectPhase" ma:readOnly="false">
      <xsd:simpleType>
        <xsd:restriction base="dms:Choice">
          <xsd:enumeration value="Pursue"/>
          <xsd:enumeration value="Plan, incl. Project Mgmt"/>
          <xsd:enumeration value="Deliver - Data"/>
          <xsd:enumeration value="Deliver - Internal Work"/>
          <xsd:enumeration value="Deliver - Deliverables"/>
          <xsd:enumeration value="Assess and Close"/>
        </xsd:restriction>
      </xsd:simpleType>
    </xsd:element>
  </xsd:schema>
  <xsd:schema xmlns:xsd="http://www.w3.org/2001/XMLSchema" xmlns:xs="http://www.w3.org/2001/XMLSchema" xmlns:dms="http://schemas.microsoft.com/office/2006/documentManagement/types" xmlns:pc="http://schemas.microsoft.com/office/infopath/2007/PartnerControls" targetNamespace="20d1c3a6-2009-40be-aa95-9261b06d293d"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PolicyDirtyBag xmlns="microsoft.office.server.policy.changes">
  <Microsoft.Office.RecordsManagement.PolicyFeatures.Expiration op="Change"/>
</PolicyDirtyBag>
</file>

<file path=customXml/item5.xml><?xml version="1.0" encoding="utf-8"?>
<?mso-contentType ?>
<SharedContentType xmlns="Microsoft.SharePoint.Taxonomy.ContentTypeSync" SourceId="5d639306-5220-4f62-8b39-d9a537361609" ContentTypeId="0x010100725E60EF2E824CBB9F9F6219DD094B09A1B2C2D1" PreviousValue="false" LastSyncTimeStamp="2023-08-18T13:51:18.673Z"/>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8.xml><?xml version="1.0" encoding="utf-8"?>
<p:properties xmlns:p="http://schemas.microsoft.com/office/2006/metadata/properties" xmlns:xsi="http://www.w3.org/2001/XMLSchema-instance" xmlns:pc="http://schemas.microsoft.com/office/infopath/2007/PartnerControls">
  <documentManagement>
    <TCT_PreparedDate xmlns="e3af3928-72d3-4b8a-b86b-2250b2499d03">2025-03-25T00:00:00+00:00</TCT_PreparedDate>
    <TCT_TechnicalReviewerRequired xmlns="e3af3928-72d3-4b8a-b86b-2250b2499d03">false</TCT_TechnicalReviewerRequired>
    <TCT_ConsultingReviewer xmlns="e3af3928-72d3-4b8a-b86b-2250b2499d03">
      <UserInfo>
        <DisplayName/>
        <AccountId xsi:nil="true"/>
        <AccountType/>
      </UserInfo>
    </TCT_ConsultingReviewer>
    <TCT_ConsultingReviewerRequired xmlns="e3af3928-72d3-4b8a-b86b-2250b2499d03">false</TCT_ConsultingReviewerRequired>
    <TCT_EditorialReviewApprovalDate xmlns="e3af3928-72d3-4b8a-b86b-2250b2499d03" xsi:nil="true"/>
    <TCT_TechnicalReviewApprovalDate xmlns="e3af3928-72d3-4b8a-b86b-2250b2499d03" xsi:nil="true"/>
    <TCT_WorkDocumentReviewStatus xmlns="e3af3928-72d3-4b8a-b86b-2250b2499d03">No</TCT_WorkDocumentReviewStatus>
    <TCT_EditorialReviewerRequired xmlns="e3af3928-72d3-4b8a-b86b-2250b2499d03">false</TCT_EditorialReviewerRequired>
    <TCT_PersonallyIdentifiableInformation xmlns="e3af3928-72d3-4b8a-b86b-2250b2499d03">No</TCT_PersonallyIdentifiableInformation>
    <TCT_PreparedByRequired xmlns="e3af3928-72d3-4b8a-b86b-2250b2499d03">false</TCT_PreparedByRequired>
    <TCT_SeniorPeerReviewerRequired xmlns="e3af3928-72d3-4b8a-b86b-2250b2499d03">false</TCT_SeniorPeerReviewerRequired>
    <TCT_WorkReviewComments xmlns="e3af3928-72d3-4b8a-b86b-2250b2499d03" xsi:nil="true"/>
    <TCT_SeniorPeerReviewApprovalDate xmlns="e3af3928-72d3-4b8a-b86b-2250b2499d03" xsi:nil="true"/>
    <TCT_PreparedBy xmlns="e3af3928-72d3-4b8a-b86b-2250b2499d03">
      <UserInfo>
        <DisplayName>i:0#.f|membership|hayley.francis@towerswatson.com</DisplayName>
        <AccountId>11</AccountId>
        <AccountType/>
      </UserInfo>
    </TCT_PreparedBy>
    <TCT_TechnicalReviewer xmlns="e3af3928-72d3-4b8a-b86b-2250b2499d03">
      <UserInfo>
        <DisplayName/>
        <AccountId xsi:nil="true"/>
        <AccountType/>
      </UserInfo>
    </TCT_TechnicalReviewer>
    <TCT_PersonalHealthInformation xmlns="e3af3928-72d3-4b8a-b86b-2250b2499d03">No</TCT_PersonalHealthInformation>
    <TCT_ProjectPhase xmlns="e3af3928-72d3-4b8a-b86b-2250b2499d03" xsi:nil="true"/>
    <TCT_ConsultingReviewApprovalDate xmlns="e3af3928-72d3-4b8a-b86b-2250b2499d03" xsi:nil="true"/>
    <TCT_EditorialReviewer xmlns="e3af3928-72d3-4b8a-b86b-2250b2499d03">
      <UserInfo>
        <DisplayName/>
        <AccountId xsi:nil="true"/>
        <AccountType/>
      </UserInfo>
    </TCT_EditorialReviewer>
    <TCT_SeniorPeerReviewer xmlns="e3af3928-72d3-4b8a-b86b-2250b2499d03">
      <UserInfo>
        <DisplayName/>
        <AccountId xsi:nil="true"/>
        <AccountType/>
      </UserInfo>
    </TCT_SeniorPeerReviewer>
    <TCT_ClientSpecialtyCode xmlns="e3af3928-72d3-4b8a-b86b-2250b2499d03">614952</TCT_ClientSpecialtyCode>
    <TCT_ClientSpecialty xmlns="e3af3928-72d3-4b8a-b86b-2250b2499d03">NHBC PS-TR</TCT_ClientSpecialty>
    <_dlc_ExpireDateSaved xmlns="http://schemas.microsoft.com/sharepoint/v3" xsi:nil="true"/>
    <_dlc_ExpireDate xmlns="http://schemas.microsoft.com/sharepoint/v3">2027-08-20T14:04:31+00:00</_dlc_ExpireDate>
  </documentManagement>
</p:properties>
</file>

<file path=customXml/itemProps1.xml><?xml version="1.0" encoding="utf-8"?>
<ds:datastoreItem xmlns:ds="http://schemas.openxmlformats.org/officeDocument/2006/customXml" ds:itemID="{58515213-6C6F-43A5-AB84-B6EAABE82CF9}">
  <ds:schemaRefs>
    <ds:schemaRef ds:uri="office.server.policy"/>
  </ds:schemaRefs>
</ds:datastoreItem>
</file>

<file path=customXml/itemProps2.xml><?xml version="1.0" encoding="utf-8"?>
<ds:datastoreItem xmlns:ds="http://schemas.openxmlformats.org/officeDocument/2006/customXml" ds:itemID="{FA6B84AF-ACE7-4FC6-8209-C05E2E5B2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af3928-72d3-4b8a-b86b-2250b2499d03"/>
    <ds:schemaRef ds:uri="20d1c3a6-2009-40be-aa95-9261b06d2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0B98E-F8E2-414D-80E8-04C70B2E3728}">
  <ds:schemaRefs>
    <ds:schemaRef ds:uri="http://schemas.openxmlformats.org/officeDocument/2006/bibliography"/>
  </ds:schemaRefs>
</ds:datastoreItem>
</file>

<file path=customXml/itemProps4.xml><?xml version="1.0" encoding="utf-8"?>
<ds:datastoreItem xmlns:ds="http://schemas.openxmlformats.org/officeDocument/2006/customXml" ds:itemID="{6E41407F-CF32-4C12-92C5-A0054431AFFC}">
  <ds:schemaRefs>
    <ds:schemaRef ds:uri="microsoft.office.server.policy.changes"/>
  </ds:schemaRefs>
</ds:datastoreItem>
</file>

<file path=customXml/itemProps5.xml><?xml version="1.0" encoding="utf-8"?>
<ds:datastoreItem xmlns:ds="http://schemas.openxmlformats.org/officeDocument/2006/customXml" ds:itemID="{6D0A362A-8D6F-4470-B6DD-091C2D3DC561}">
  <ds:schemaRefs>
    <ds:schemaRef ds:uri="Microsoft.SharePoint.Taxonomy.ContentTypeSync"/>
  </ds:schemaRefs>
</ds:datastoreItem>
</file>

<file path=customXml/itemProps6.xml><?xml version="1.0" encoding="utf-8"?>
<ds:datastoreItem xmlns:ds="http://schemas.openxmlformats.org/officeDocument/2006/customXml" ds:itemID="{E20D6D31-2568-46F2-AA30-B8C9EF6A9393}">
  <ds:schemaRefs>
    <ds:schemaRef ds:uri="http://schemas.microsoft.com/sharepoint/v3/contenttype/forms"/>
  </ds:schemaRefs>
</ds:datastoreItem>
</file>

<file path=customXml/itemProps7.xml><?xml version="1.0" encoding="utf-8"?>
<ds:datastoreItem xmlns:ds="http://schemas.openxmlformats.org/officeDocument/2006/customXml" ds:itemID="{DE718287-5957-461B-904A-66722ACDF403}">
  <ds:schemaRefs>
    <ds:schemaRef ds:uri="http://schemas.microsoft.com/sharepoint/events"/>
  </ds:schemaRefs>
</ds:datastoreItem>
</file>

<file path=customXml/itemProps8.xml><?xml version="1.0" encoding="utf-8"?>
<ds:datastoreItem xmlns:ds="http://schemas.openxmlformats.org/officeDocument/2006/customXml" ds:itemID="{C668DC10-5DFD-4F5D-A855-F14D0022DACF}">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http://purl.org/dc/terms/"/>
    <ds:schemaRef ds:uri="20d1c3a6-2009-40be-aa95-9261b06d293d"/>
    <ds:schemaRef ds:uri="e3af3928-72d3-4b8a-b86b-2250b2499d0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TW Blank</Template>
  <TotalTime>4912</TotalTime>
  <Pages>13</Pages>
  <Words>5100</Words>
  <Characters>27394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NHBC Chair's Statement_2025_DRAFT</vt:lpstr>
    </vt:vector>
  </TitlesOfParts>
  <Company>Towers Watson</Company>
  <LinksUpToDate>false</LinksUpToDate>
  <CharactersWithSpaces>32430</CharactersWithSpaces>
  <SharedDoc>false</SharedDoc>
  <HLinks>
    <vt:vector size="6" baseType="variant">
      <vt:variant>
        <vt:i4>5767182</vt:i4>
      </vt:variant>
      <vt:variant>
        <vt:i4>0</vt:i4>
      </vt:variant>
      <vt:variant>
        <vt:i4>0</vt:i4>
      </vt:variant>
      <vt:variant>
        <vt:i4>5</vt:i4>
      </vt:variant>
      <vt:variant>
        <vt:lpwstr>http://www.nhbc.co.uk/nhbc-pension-scheme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NHBC Chair's Statement_2025_DRAFT</dc:title>
  <dc:subject/>
  <dc:creator>JANIN218</dc:creator>
  <cp:keywords/>
  <cp:lastModifiedBy>Hayley Francis</cp:lastModifiedBy>
  <cp:revision>99</cp:revision>
  <cp:lastPrinted>2025-08-20T14:04:00Z</cp:lastPrinted>
  <dcterms:created xsi:type="dcterms:W3CDTF">2025-03-25T16:19:00Z</dcterms:created>
  <dcterms:modified xsi:type="dcterms:W3CDTF">2025-08-20T14:04:00Z</dcterms:modified>
  <dc:language>English (U.K.)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 Size">
    <vt:lpwstr>A4</vt:lpwstr>
  </property>
  <property fmtid="{D5CDD505-2E9C-101B-9397-08002B2CF9AE}" pid="3" name="Orientation">
    <vt:lpwstr>Portrait</vt:lpwstr>
  </property>
  <property fmtid="{D5CDD505-2E9C-101B-9397-08002B2CF9AE}" pid="4" name="Name">
    <vt:lpwstr>Janine Bennett</vt:lpwstr>
  </property>
  <property fmtid="{D5CDD505-2E9C-101B-9397-08002B2CF9AE}" pid="5" name="Postal Address">
    <vt:lpwstr>Postal Address</vt:lpwstr>
  </property>
  <property fmtid="{D5CDD505-2E9C-101B-9397-08002B2CF9AE}" pid="6" name="Language">
    <vt:lpwstr>English (U.K.)</vt:lpwstr>
  </property>
  <property fmtid="{D5CDD505-2E9C-101B-9397-08002B2CF9AE}" pid="7" name="Degree(s)">
    <vt:lpwstr> </vt:lpwstr>
  </property>
  <property fmtid="{D5CDD505-2E9C-101B-9397-08002B2CF9AE}" pid="8" name="Job Title(s)">
    <vt:lpwstr>Consultant</vt:lpwstr>
  </property>
  <property fmtid="{D5CDD505-2E9C-101B-9397-08002B2CF9AE}" pid="9" name="Office">
    <vt:lpwstr>Reigate</vt:lpwstr>
  </property>
  <property fmtid="{D5CDD505-2E9C-101B-9397-08002B2CF9AE}" pid="10" name="Recipient Name">
    <vt:lpwstr>Recipient Name</vt:lpwstr>
  </property>
  <property fmtid="{D5CDD505-2E9C-101B-9397-08002B2CF9AE}" pid="11" name="Direct dial phone number">
    <vt:lpwstr>01737 274552</vt:lpwstr>
  </property>
  <property fmtid="{D5CDD505-2E9C-101B-9397-08002B2CF9AE}" pid="12" name="Mobile phone number">
    <vt:lpwstr> </vt:lpwstr>
  </property>
  <property fmtid="{D5CDD505-2E9C-101B-9397-08002B2CF9AE}" pid="13" name="Full email address">
    <vt:lpwstr>janine.bennett@towerswatson.com</vt:lpwstr>
  </property>
  <property fmtid="{D5CDD505-2E9C-101B-9397-08002B2CF9AE}" pid="14" name="Template">
    <vt:lpwstr>TW Blank.dot</vt:lpwstr>
  </property>
  <property fmtid="{D5CDD505-2E9C-101B-9397-08002B2CF9AE}" pid="15" name="Division/Practice">
    <vt:lpwstr>Benefits</vt:lpwstr>
  </property>
  <property fmtid="{D5CDD505-2E9C-101B-9397-08002B2CF9AE}" pid="16" name="Legal line for report">
    <vt:lpwstr>Towers Watson Limited is authorised and regulated by the Financial Conduct Authority</vt:lpwstr>
  </property>
  <property fmtid="{D5CDD505-2E9C-101B-9397-08002B2CF9AE}" pid="17" name="Proprietary and Confidential">
    <vt:lpwstr>Proprietary and Confidential</vt:lpwstr>
  </property>
  <property fmtid="{D5CDD505-2E9C-101B-9397-08002B2CF9AE}" pid="18" name="For authorised Towers Watson employees only">
    <vt:lpwstr>For authorised Towers Watson employees only</vt:lpwstr>
  </property>
  <property fmtid="{D5CDD505-2E9C-101B-9397-08002B2CF9AE}" pid="19" name="Page">
    <vt:lpwstr>Page</vt:lpwstr>
  </property>
  <property fmtid="{D5CDD505-2E9C-101B-9397-08002B2CF9AE}" pid="20" name="of">
    <vt:lpwstr>of</vt:lpwstr>
  </property>
  <property fmtid="{D5CDD505-2E9C-101B-9397-08002B2CF9AE}" pid="21" name="Yours sincerely">
    <vt:lpwstr>Yours sincerely</vt:lpwstr>
  </property>
  <property fmtid="{D5CDD505-2E9C-101B-9397-08002B2CF9AE}" pid="22" name="Countries">
    <vt:lpwstr>26;#United Kingdom|8839a2cc-ef08-44b1-ae18-8c16a9e4ecef</vt:lpwstr>
  </property>
  <property fmtid="{D5CDD505-2E9C-101B-9397-08002B2CF9AE}" pid="23" name="Offices">
    <vt:lpwstr/>
  </property>
  <property fmtid="{D5CDD505-2E9C-101B-9397-08002B2CF9AE}" pid="24" name="BusinessChallenges">
    <vt:lpwstr/>
  </property>
  <property fmtid="{D5CDD505-2E9C-101B-9397-08002B2CF9AE}" pid="25" name="ServicesTopics">
    <vt:lpwstr>168;#Plan Governance|f4d8ad4c-721e-4c15-b0c6-3d9197202105</vt:lpwstr>
  </property>
  <property fmtid="{D5CDD505-2E9C-101B-9397-08002B2CF9AE}" pid="26" name="CampaignGroup">
    <vt:lpwstr/>
  </property>
  <property fmtid="{D5CDD505-2E9C-101B-9397-08002B2CF9AE}" pid="27" name="GeographicDesignations">
    <vt:lpwstr/>
  </property>
  <property fmtid="{D5CDD505-2E9C-101B-9397-08002B2CF9AE}" pid="28" name="ContentTypeId">
    <vt:lpwstr>0x010100725E60EF2E824CBB9F9F6219DD094B09A1B2C2D10015A3535D4F9D6541A58CCF1C040AB451</vt:lpwstr>
  </property>
  <property fmtid="{D5CDD505-2E9C-101B-9397-08002B2CF9AE}" pid="29" name="_dlc_DocId">
    <vt:lpwstr>VDLFILE-23-3041</vt:lpwstr>
  </property>
  <property fmtid="{D5CDD505-2E9C-101B-9397-08002B2CF9AE}" pid="30" name="Practices">
    <vt:lpwstr>343;#DC|1f2c81bb-9f34-404b-bc2c-0923212c71d6</vt:lpwstr>
  </property>
  <property fmtid="{D5CDD505-2E9C-101B-9397-08002B2CF9AE}" pid="31" name="_dlc_DocIdItemGuid">
    <vt:lpwstr>6ca4cd50-c416-49cb-8d39-3f1c38e54d1d</vt:lpwstr>
  </property>
  <property fmtid="{D5CDD505-2E9C-101B-9397-08002B2CF9AE}" pid="32" name="PrimaryIndustries">
    <vt:lpwstr/>
  </property>
  <property fmtid="{D5CDD505-2E9C-101B-9397-08002B2CF9AE}" pid="33" name="DistributionRules">
    <vt:lpwstr>36;#Internal use only|15bec1f1-4eb9-4d89-880a-f58452e3a3b0</vt:lpwstr>
  </property>
  <property fmtid="{D5CDD505-2E9C-101B-9397-08002B2CF9AE}" pid="34" name="Segments">
    <vt:lpwstr>6;#Benefits|91fdf2ca-7b9a-4fde-909a-faa15f528f0b</vt:lpwstr>
  </property>
  <property fmtid="{D5CDD505-2E9C-101B-9397-08002B2CF9AE}" pid="35" name="Regions">
    <vt:lpwstr>25;#Europe, Middle East, Africa|46707545-1a79-447f-84b8-5b633f674f1a</vt:lpwstr>
  </property>
  <property fmtid="{D5CDD505-2E9C-101B-9397-08002B2CF9AE}" pid="36" name="_dlc_DocIdUrl">
    <vt:lpwstr>http://vantage.internal.towerswatson.com/_layouts/DocIdRedir.aspx?ID=VDLFILE-23-3041, VDLFILE-23-3041</vt:lpwstr>
  </property>
  <property fmtid="{D5CDD505-2E9C-101B-9397-08002B2CF9AE}" pid="37" name="CrossSegments">
    <vt:lpwstr/>
  </property>
  <property fmtid="{D5CDD505-2E9C-101B-9397-08002B2CF9AE}" pid="38" name="Languages">
    <vt:lpwstr>39;#English|1e855ae4-aa31-4e55-a95d-12f035309e72</vt:lpwstr>
  </property>
  <property fmtid="{D5CDD505-2E9C-101B-9397-08002B2CF9AE}" pid="39" name="SecondaryIndustries">
    <vt:lpwstr/>
  </property>
  <property fmtid="{D5CDD505-2E9C-101B-9397-08002B2CF9AE}" pid="40" name="SerialTitle">
    <vt:lpwstr/>
  </property>
  <property fmtid="{D5CDD505-2E9C-101B-9397-08002B2CF9AE}" pid="41" name="Collections">
    <vt:lpwstr/>
  </property>
  <property fmtid="{D5CDD505-2E9C-101B-9397-08002B2CF9AE}" pid="42" name="Audiences">
    <vt:lpwstr/>
  </property>
  <property fmtid="{D5CDD505-2E9C-101B-9397-08002B2CF9AE}" pid="43" name="Markets">
    <vt:lpwstr/>
  </property>
  <property fmtid="{D5CDD505-2E9C-101B-9397-08002B2CF9AE}" pid="44" name="LOB">
    <vt:lpwstr>13;#Retirement|1000687c-b18d-4fad-bbfb-c276c01f47d9</vt:lpwstr>
  </property>
  <property fmtid="{D5CDD505-2E9C-101B-9397-08002B2CF9AE}" pid="45" name="Topic">
    <vt:lpwstr>182;#2018 Governance/Admin|3f146215-8cba-4c07-b44c-dc1bc5ac2f00</vt:lpwstr>
  </property>
  <property fmtid="{D5CDD505-2E9C-101B-9397-08002B2CF9AE}" pid="46" name="Tag">
    <vt:lpwstr>142;#Legal ＆ Documentation|9491a812-bbf3-4fed-a5d2-3c701d52eb4f</vt:lpwstr>
  </property>
  <property fmtid="{D5CDD505-2E9C-101B-9397-08002B2CF9AE}" pid="47" name="Other">
    <vt:lpwstr>143;#Chair's Statement|8830799d-17b7-45f0-9c51-148c358ffac2</vt:lpwstr>
  </property>
  <property fmtid="{D5CDD505-2E9C-101B-9397-08002B2CF9AE}" pid="48" name="MSIP_Label_d347b247-e90e-43a3-9d7b-004f14ae6873_Enabled">
    <vt:lpwstr>true</vt:lpwstr>
  </property>
  <property fmtid="{D5CDD505-2E9C-101B-9397-08002B2CF9AE}" pid="49" name="MSIP_Label_d347b247-e90e-43a3-9d7b-004f14ae6873_SiteId">
    <vt:lpwstr>76e3921f-489b-4b7e-9547-9ea297add9b5</vt:lpwstr>
  </property>
  <property fmtid="{D5CDD505-2E9C-101B-9397-08002B2CF9AE}" pid="50" name="MSIP_Label_d347b247-e90e-43a3-9d7b-004f14ae6873_Name">
    <vt:lpwstr>d347b247-e90e-43a3-9d7b-004f14ae6873</vt:lpwstr>
  </property>
  <property fmtid="{D5CDD505-2E9C-101B-9397-08002B2CF9AE}" pid="51" name="MSIP_Label_d347b247-e90e-43a3-9d7b-004f14ae6873_ActionId">
    <vt:lpwstr>3c8d2d89-44af-4742-be32-1af054fd3bfc</vt:lpwstr>
  </property>
  <property fmtid="{D5CDD505-2E9C-101B-9397-08002B2CF9AE}" pid="52" name="_dlc_policyId">
    <vt:lpwstr>0x010100725E60EF2E824CBB9F9F6219DD094B09A1B2C2D1|-122337073</vt:lpwstr>
  </property>
  <property fmtid="{D5CDD505-2E9C-101B-9397-08002B2CF9AE}" pid="53"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4" name="MSIP_Label_d347b247-e90e-43a3-9d7b-004f14ae6873_Method">
    <vt:lpwstr>Standard</vt:lpwstr>
  </property>
  <property fmtid="{D5CDD505-2E9C-101B-9397-08002B2CF9AE}" pid="55" name="MSIP_Label_d347b247-e90e-43a3-9d7b-004f14ae6873_ContentBits">
    <vt:lpwstr>0</vt:lpwstr>
  </property>
  <property fmtid="{D5CDD505-2E9C-101B-9397-08002B2CF9AE}" pid="56" name="MSIP_Label_d347b247-e90e-43a3-9d7b-004f14ae6873_SetDate">
    <vt:lpwstr>2022-09-12T09:24:51Z</vt:lpwstr>
  </property>
</Properties>
</file>